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January __,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[Cayuga], a [__] corporation (“Cayuga”) and Enron North America Corp., a Delaware corporation (“ENA”), to evaluate ENA’s and Cayuga’s possible interest in ENA providing certain energy management and other services relating to the [describe assets] (the “Transaction”).  Cayuga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in Article I are not intended to and do not constitute a binding agreement of the Parties with respect to the goods and services comprising the Transaction.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Transaction and the necessary agreements relating thereto. ENA and Cayuga may conduct a due diligence investigation regarding the Transaction.  Cayuga will assist ENA in such investigation and Cayuga will disclose to ENA all relevant information in Cayuga's possession pertaining thereto. It is understood that ENA and Cayuga are not, by virtue of this agreement, undertaking any liability with regard to the Transaction; any such undertaking would be addressed in a subsequent definitive agreement or agreements.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Transaction.  </w:t>
      </w:r>
      <w:r>
        <w:rPr>
          <w:sz w:val="24"/>
        </w:rPr>
        <w:t>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 xml:space="preserve">This Agreement shall remain in force and effect until the earliest to occur of the following events:  (i) an entity or entities other than ENA and Cayuga enter into definitive agreements in order to develop a project that is similar to the Transaction; or (ii) until such time that it becomes clear to either Party that the Transaction will not be economically viable or otherwise be able to close; or (iii) ____ </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ENA in undertaking its due diligence review of the Transaction, Cayuga hereby grants to ENA, for a period beginning on _____ __, _____ and ending on the earlier of (i) _____ __, _____, and (ii) the date of any earlier termination as set out above (the “Exclusivity Period”) the exclusive right to pursue the Transaction with Cayuga.  During the Exclusivity Period and without prior written consent of the other Party, Cayuga shall not work with other persons with regard to an arrangement similar to the Transaction. The foregoing exclusivity provision shall not restrict or prohibit either Party from pursuing with third persons arrangements similar to the Transaction concerning other assets unrelated to those contemplated to be within the scope of the Transaction,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CAYUGA,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all or part of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Heading3"/>
        <w:ind w:hanging="0" w:start="0"/>
        <w:rPr/>
      </w:pPr>
      <w:r>
        <w:rPr/>
        <w:t xml:space="preserve">CAYUGA </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EXHIBIT A</w:t>
      </w:r>
    </w:p>
    <w:p>
      <w:pPr>
        <w:pStyle w:val="Normal"/>
        <w:jc w:val="center"/>
        <w:rPr>
          <w:sz w:val="22"/>
          <w:u w:val="single"/>
        </w:rPr>
      </w:pPr>
      <w:r>
        <w:rPr>
          <w:sz w:val="22"/>
          <w:u w:val="single"/>
        </w:rPr>
        <w:t>SUMMARY TERM SHEET</w:t>
      </w:r>
    </w:p>
    <w:p>
      <w:pPr>
        <w:pStyle w:val="Normal"/>
        <w:jc w:val="center"/>
        <w:rPr>
          <w:sz w:val="22"/>
          <w:u w:val="single"/>
        </w:rPr>
      </w:pPr>
      <w:r>
        <w:rPr>
          <w:sz w:val="22"/>
          <w:u w:val="single"/>
        </w:rPr>
      </w:r>
    </w:p>
    <w:tbl>
      <w:tblPr>
        <w:tblW w:w="9864" w:type="dxa"/>
        <w:jc w:val="start"/>
        <w:tblInd w:w="0" w:type="dxa"/>
        <w:tblLayout w:type="fixed"/>
        <w:tblCellMar>
          <w:top w:w="0" w:type="dxa"/>
          <w:start w:w="108" w:type="dxa"/>
          <w:bottom w:w="0" w:type="dxa"/>
          <w:end w:w="108" w:type="dxa"/>
        </w:tblCellMar>
      </w:tblPr>
      <w:tblGrid>
        <w:gridCol w:w="3798"/>
        <w:gridCol w:w="6066"/>
      </w:tblGrid>
      <w:tr>
        <w:trPr/>
        <w:tc>
          <w:tcPr>
            <w:tcW w:w="379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General Description of Transaction</w:t>
            </w:r>
          </w:p>
        </w:tc>
        <w:tc>
          <w:tcPr>
            <w:tcW w:w="606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ENA would manage certain power generation assets of Cayuga’s, with the objective of optimizing the economic benefit derived from the assets.</w:t>
            </w:r>
          </w:p>
          <w:p>
            <w:pPr>
              <w:pStyle w:val="Normal"/>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u w:val="single"/>
              </w:rPr>
            </w:pPr>
            <w:r>
              <w:rPr>
                <w:sz w:val="24"/>
                <w:u w:val="single"/>
              </w:rPr>
              <w:t xml:space="preserve">Included Assets     </w:t>
            </w:r>
          </w:p>
        </w:tc>
        <w:tc>
          <w:tcPr>
            <w:tcW w:w="606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The assets to be included are three combined cycle plants [need description]</w:t>
            </w:r>
          </w:p>
          <w:p>
            <w:pPr>
              <w:pStyle w:val="Normal"/>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u w:val="single"/>
              </w:rPr>
            </w:pPr>
            <w:r>
              <w:rPr>
                <w:sz w:val="24"/>
                <w:u w:val="single"/>
              </w:rPr>
              <w:t>General Description of Services to be Provided by ENA</w:t>
            </w:r>
          </w:p>
        </w:tc>
        <w:tc>
          <w:tcPr>
            <w:tcW w:w="606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Fuel supply services, including procurement, transportation and storage; [risk management], power marketing services, including scheduling, invoicing, credit; management of installed capacity and unforced capacity associated with the power plants.</w:t>
            </w:r>
          </w:p>
          <w:p>
            <w:pPr>
              <w:pStyle w:val="Normal"/>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u w:val="single"/>
              </w:rPr>
            </w:pPr>
            <w:r>
              <w:rPr>
                <w:sz w:val="24"/>
                <w:u w:val="single"/>
              </w:rPr>
              <w:t xml:space="preserve">Fuel Supply </w:t>
            </w:r>
          </w:p>
        </w:tc>
        <w:tc>
          <w:tcPr>
            <w:tcW w:w="606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Assessment of fuel needs (natural gas and fuel oil); procure required fuel; arrange for transportation and storage of fuel.</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u w:val="single"/>
              </w:rPr>
            </w:pPr>
            <w:r>
              <w:rPr>
                <w:sz w:val="24"/>
                <w:u w:val="single"/>
              </w:rPr>
              <w:t>Power Marketing</w:t>
            </w:r>
          </w:p>
        </w:tc>
        <w:tc>
          <w:tcPr>
            <w:tcW w:w="606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Schedule and dispatch plants to enhance profitability; provide credit services in accordance with agreed parameters; invoicing and cash management services.</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u w:val="single"/>
              </w:rPr>
            </w:pPr>
            <w:r>
              <w:rPr>
                <w:sz w:val="24"/>
                <w:u w:val="single"/>
              </w:rPr>
              <w:t>Ancillary Services</w:t>
            </w:r>
          </w:p>
        </w:tc>
        <w:tc>
          <w:tcPr>
            <w:tcW w:w="606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Manage and market installed capacity and unforced capacity.</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u w:val="single"/>
              </w:rPr>
            </w:pPr>
            <w:r>
              <w:rPr>
                <w:sz w:val="24"/>
                <w:u w:val="single"/>
              </w:rPr>
              <w:t>Compensation</w:t>
            </w:r>
          </w:p>
        </w:tc>
        <w:tc>
          <w:tcPr>
            <w:tcW w:w="6066" w:type="dxa"/>
            <w:tcBorders>
              <w:top w:val="single" w:sz="4" w:space="0" w:color="000000"/>
              <w:start w:val="single" w:sz="4" w:space="0" w:color="000000"/>
              <w:bottom w:val="single" w:sz="4" w:space="0" w:color="000000"/>
              <w:end w:val="single" w:sz="4" w:space="0" w:color="000000"/>
            </w:tcBorders>
          </w:tcPr>
          <w:p>
            <w:pPr>
              <w:pStyle w:val="Normal"/>
              <w:rPr>
                <w:sz w:val="24"/>
                <w:u w:val="single"/>
              </w:rPr>
            </w:pPr>
            <w:r>
              <w:rPr>
                <w:sz w:val="24"/>
              </w:rPr>
              <w:t>Compensation would include the sharing of enhanced enterprise profitability based on mutually agreed benchmarks; some services provided on a fee basis.</w:t>
            </w:r>
          </w:p>
        </w:tc>
      </w:tr>
    </w:tbl>
    <w:p>
      <w:pPr>
        <w:pStyle w:val="Normal"/>
        <w:rPr>
          <w:sz w:val="22"/>
          <w:u w:val="single"/>
        </w:rPr>
      </w:pPr>
      <w:r>
        <w:rPr>
          <w:sz w:val="22"/>
          <w:u w:val="single"/>
        </w:rPr>
      </w:r>
    </w:p>
    <w:p>
      <w:pPr>
        <w:pStyle w:val="Normal"/>
        <w:rPr>
          <w:sz w:val="22"/>
          <w:u w:val="single"/>
        </w:rPr>
      </w:pPr>
      <w:r>
        <w:rPr>
          <w:sz w:val="22"/>
          <w:u w:val="single"/>
        </w:rPr>
      </w:r>
    </w:p>
    <w:p>
      <w:pPr>
        <w:pStyle w:val="BodyText"/>
        <w:rPr>
          <w:b/>
        </w:rPr>
      </w:pPr>
      <w:r>
        <w:rPr>
          <w:b/>
        </w:rPr>
        <w:t>THIS SUMMARY OF TERMS AND CONDITIONS IS AN ATTACHMENT TO A LETTER OF UNDERSTANDING DATED JANUARY ___, AND IS NOT TO BE CONSIDERED SEPARATELY FROM SUCH LETTER.  THIS SUMMARY TERM SHEET IS NOT INTENDED TO BE COMPLETE AND ALL-INCLUSIVE OF THE TERMS OF THE PROPOSED TRANSACTION, NOR DOES THIS ATTACHMENTS CREATE A BINDING AND ENFORCEABLE CONTRACT, COMMITMENT OR OFFER TO ANY PARTY OR PARTIES.</w:t>
      </w:r>
    </w:p>
    <w:p>
      <w:pPr>
        <w:pStyle w:val="Normal"/>
        <w:rPr>
          <w:b/>
          <w:sz w:val="24"/>
        </w:rPr>
      </w:pPr>
      <w:r>
        <w:rPr>
          <w:b/>
          <w:sz w:val="24"/>
        </w:rPr>
      </w:r>
    </w:p>
    <w:p>
      <w:pPr>
        <w:pStyle w:val="Normal"/>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Cayuga_LOI.doc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Cayuga_LOI.doc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JANUARY 22, 2001 DRAFT</w:t>
    </w:r>
  </w:p>
  <w:p>
    <w:pPr>
      <w:pStyle w:val="Header"/>
      <w:tabs>
        <w:tab w:val="clear" w:pos="4320"/>
        <w:tab w:val="clear" w:pos="8640"/>
        <w:tab w:val="right" w:pos="9540" w:leader="none"/>
        <w:tab w:val="right" w:pos="9630" w:leader="none"/>
      </w:tabs>
      <w:jc w:val="end"/>
      <w:rPr>
        <w:b/>
      </w:rPr>
    </w:pPr>
    <w:r>
      <w:rPr>
        <w:b/>
      </w:rPr>
      <w:t>FOR DISCUSSION PURPOSES ONLY</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keepLines/>
      <w:numPr>
        <w:ilvl w:val="2"/>
        <w:numId w:val="1"/>
      </w:numPr>
      <w:jc w:val="both"/>
      <w:outlineLvl w:val="2"/>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2001-01-10T20:32:00Z</dcterms:created>
  <dc:creator>ECT</dc:creator>
  <dc:description/>
  <dc:language>en-CA</dc:language>
  <cp:lastModifiedBy>kmann</cp:lastModifiedBy>
  <cp:lastPrinted>2001-01-22T14:48:00Z</cp:lastPrinted>
  <dcterms:modified xsi:type="dcterms:W3CDTF">2001-01-22T18:42:00Z</dcterms:modified>
  <cp:revision>5</cp:revision>
  <dc:subject/>
  <dc:title>[ECT Letterhead]</dc:title>
</cp:coreProperties>
</file>