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r>
    </w:p>
    <w:p>
      <w:pPr>
        <w:pStyle w:val="Normal"/>
        <w:jc w:val="end"/>
        <w:rPr>
          <w:b/>
        </w:rPr>
      </w:pPr>
      <w:r>
        <w:rPr>
          <w:b/>
        </w:rPr>
      </w:r>
    </w:p>
    <w:p>
      <w:pPr>
        <w:pStyle w:val="Normal"/>
        <w:jc w:val="end"/>
        <w:rPr>
          <w:b/>
        </w:rPr>
      </w:pPr>
      <w:r>
        <w:rPr>
          <w:b/>
        </w:rPr>
      </w:r>
    </w:p>
    <w:p>
      <w:pPr>
        <w:pStyle w:val="Normal"/>
        <w:jc w:val="center"/>
        <w:rPr/>
      </w:pPr>
      <w:r>
        <w:rPr/>
        <w:t>[ENA LETTERHEAD]</w:t>
      </w:r>
    </w:p>
    <w:p>
      <w:pPr>
        <w:pStyle w:val="Normal"/>
        <w:jc w:val="center"/>
        <w:rPr/>
      </w:pPr>
      <w:r>
        <w:rPr/>
      </w:r>
    </w:p>
    <w:p>
      <w:pPr>
        <w:pStyle w:val="Normal"/>
        <w:jc w:val="center"/>
        <w:rPr/>
      </w:pPr>
      <w:r>
        <w:rPr/>
      </w:r>
    </w:p>
    <w:p>
      <w:pPr>
        <w:pStyle w:val="Normal"/>
        <w:rPr/>
      </w:pPr>
      <w:r>
        <w:rPr/>
        <w:t>March __, 2001</w:t>
      </w:r>
    </w:p>
    <w:p>
      <w:pPr>
        <w:pStyle w:val="Normal"/>
        <w:rPr/>
      </w:pPr>
      <w:r>
        <w:rPr/>
      </w:r>
    </w:p>
    <w:p>
      <w:pPr>
        <w:pStyle w:val="Index1"/>
        <w:rPr>
          <w:rFonts w:ascii="Times New Roman" w:hAnsi="Times New Roman" w:cs="Times New Roman"/>
        </w:rPr>
      </w:pPr>
      <w:r>
        <w:rPr>
          <w:rFonts w:cs="Times New Roman" w:ascii="Times New Roman" w:hAnsi="Times New Roman"/>
        </w:rPr>
        <w:t>Catequil Partners, L.P.</w:t>
      </w:r>
    </w:p>
    <w:p>
      <w:pPr>
        <w:pStyle w:val="Normal"/>
        <w:rPr/>
      </w:pPr>
      <w:r>
        <w:rPr/>
        <w:t>________________</w:t>
      </w:r>
    </w:p>
    <w:p>
      <w:pPr>
        <w:pStyle w:val="Normal"/>
        <w:rPr/>
      </w:pPr>
      <w:r>
        <w:rPr/>
        <w:t>________________</w:t>
      </w:r>
    </w:p>
    <w:p>
      <w:pPr>
        <w:pStyle w:val="Normal"/>
        <w:rPr/>
      </w:pPr>
      <w:r>
        <w:rPr/>
        <w:t>Attention: _________________</w:t>
      </w:r>
    </w:p>
    <w:p>
      <w:pPr>
        <w:pStyle w:val="Normal"/>
        <w:rPr/>
      </w:pPr>
      <w:r>
        <w:rPr/>
      </w:r>
    </w:p>
    <w:p>
      <w:pPr>
        <w:pStyle w:val="Normal"/>
        <w:rPr/>
      </w:pPr>
      <w:r>
        <w:rPr/>
        <w:t>Fax No.:___________________</w:t>
      </w:r>
    </w:p>
    <w:p>
      <w:pPr>
        <w:pStyle w:val="Normal"/>
        <w:rPr/>
      </w:pPr>
      <w:r>
        <w:rPr/>
        <w:t>Telephone No.: _____________</w:t>
      </w:r>
    </w:p>
    <w:p>
      <w:pPr>
        <w:pStyle w:val="Index1"/>
        <w:rPr>
          <w:rFonts w:ascii="Times New Roman" w:hAnsi="Times New Roman" w:cs="Times New Roman"/>
        </w:rPr>
      </w:pPr>
      <w:r>
        <w:rPr>
          <w:rFonts w:cs="Times New Roman" w:ascii="Times New Roman" w:hAnsi="Times New Roman"/>
        </w:rPr>
      </w:r>
    </w:p>
    <w:p>
      <w:pPr>
        <w:pStyle w:val="Normal"/>
        <w:rPr/>
      </w:pPr>
      <w:r>
        <w:rPr/>
        <w:t>Re:</w:t>
        <w:tab/>
        <w:t>TRANSACTION ENA Contract No. _________</w:t>
      </w:r>
    </w:p>
    <w:p>
      <w:pPr>
        <w:pStyle w:val="Normal"/>
        <w:rPr/>
      </w:pPr>
      <w:r>
        <w:rPr/>
      </w:r>
    </w:p>
    <w:p>
      <w:pPr>
        <w:pStyle w:val="Normal"/>
        <w:rPr/>
      </w:pPr>
      <w:r>
        <w:rPr/>
        <w:t>Dear Sirs:</w:t>
      </w:r>
    </w:p>
    <w:p>
      <w:pPr>
        <w:pStyle w:val="Normal"/>
        <w:rPr/>
      </w:pPr>
      <w:r>
        <w:rPr/>
      </w:r>
    </w:p>
    <w:p>
      <w:pPr>
        <w:pStyle w:val="BodyText"/>
        <w:rPr/>
      </w:pPr>
      <w:r>
        <w:rPr/>
        <w:t>The purpose of this document is to confirm the terms and conditions of the transaction entered into between Catequil Partners, L.P. (“Counterparty”) and Enron North America Corp. (“ENA”) on ____________,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 2001 between ___________ of ENA and ____________ of Counterparty.</w:t>
      </w:r>
    </w:p>
    <w:p>
      <w:pPr>
        <w:pStyle w:val="Normal"/>
        <w:jc w:val="both"/>
        <w:rPr/>
      </w:pPr>
      <w:r>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rPr>
      </w:pPr>
      <w:r>
        <w:rPr>
          <w:color w:val="FF0000"/>
        </w:rPr>
      </w:r>
    </w:p>
    <w:p>
      <w:pPr>
        <w:pStyle w:val="Normal"/>
        <w:jc w:val="both"/>
        <w:rPr/>
      </w:pPr>
      <w:r>
        <w:rPr/>
        <w:t>2.</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jc w:val="both"/>
        <w:rPr/>
      </w:pPr>
      <w:r>
        <w:rPr/>
        <w:t>Terms to be supplied by ENA Confirmation Desk</w:t>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3.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ENA:</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North America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5.</w:t>
      </w:r>
      <w:r>
        <w:rPr>
          <w:b/>
        </w:rPr>
        <w:tab/>
        <w:tab/>
      </w:r>
      <w:r>
        <w:rPr>
          <w:b/>
          <w:u w:val="single"/>
        </w:rPr>
        <w:t>Representations</w:t>
      </w:r>
      <w:r>
        <w:rPr>
          <w:b/>
        </w:rPr>
        <w:t>.</w:t>
      </w:r>
      <w:r>
        <w:rPr/>
        <w:t xml:space="preserve">  To induce the other to enter into the Transaction, each party represents and warrants to the other that: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Eligibility</w:t>
      </w:r>
      <w:r>
        <w:rPr/>
        <w:t xml:space="preserve">:  </w:t>
      </w:r>
      <w:r>
        <w:rPr>
          <w:szCs w:val="22"/>
        </w:rPr>
        <w:t>(i) It constitutes an “eligible contract participant” as such term is defined in the Commodity Exchange Act, as amended 7 U.S.C. §1a(12) and (ii) it constitutes an “eligible commercial entity” as such term is defined in the Commodity Exchange Act, as amended 7 U.S.C. §1a(11)</w:t>
      </w:r>
      <w:r>
        <w:rPr/>
        <w:t xml:space="preserve"> and (c) </w:t>
      </w:r>
      <w:r>
        <w:rPr>
          <w:u w:val="single"/>
        </w:rPr>
        <w:t>No Reliance and No Advisory Status</w:t>
      </w:r>
      <w:r>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rPr>
        <w:t xml:space="preserve">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jc w:val="both"/>
        <w:rPr/>
      </w:pPr>
      <w:r>
        <w:rPr/>
      </w:r>
    </w:p>
    <w:p>
      <w:pPr>
        <w:pStyle w:val="Normal"/>
        <w:jc w:val="both"/>
        <w:rPr/>
      </w:pPr>
      <w:r>
        <w:rPr/>
        <w:t>6.</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jc w:val="both"/>
        <w:rPr/>
      </w:pPr>
      <w:r>
        <w:rPr/>
        <w:t>7.</w:t>
        <w:tab/>
      </w:r>
      <w:r>
        <w:rPr>
          <w:b/>
          <w:u w:val="single"/>
        </w:rPr>
        <w:t>Governing Law/Jurisdiction</w:t>
      </w:r>
      <w:r>
        <w:rPr>
          <w:b/>
        </w:rPr>
        <w:t>.</w:t>
      </w:r>
      <w:r>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pPr>
      <w:r>
        <w:rPr/>
      </w:r>
    </w:p>
    <w:p>
      <w:pPr>
        <w:pStyle w:val="Normal"/>
        <w:jc w:val="both"/>
        <w:rPr/>
      </w:pPr>
      <w:r>
        <w:rPr/>
        <w:t>8.</w:t>
        <w:tab/>
      </w:r>
      <w:r>
        <w:rPr>
          <w:b/>
          <w:u w:val="single"/>
        </w:rPr>
        <w:t>Confidentiality</w:t>
      </w:r>
      <w:r>
        <w:rPr>
          <w:b/>
        </w:rPr>
        <w:t>.</w:t>
      </w:r>
      <w:r>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9.</w:t>
        <w:tab/>
      </w:r>
      <w:r>
        <w:rPr>
          <w:b/>
          <w:u w:val="single"/>
        </w:rPr>
        <w:t>Calculation Agent</w:t>
      </w:r>
      <w:r>
        <w:rPr>
          <w:b/>
        </w:rPr>
        <w:t>.</w:t>
      </w:r>
      <w:r>
        <w:rPr/>
        <w:t xml:space="preserve">  The Calculation Agent shall be ENA.</w:t>
      </w:r>
    </w:p>
    <w:p>
      <w:pPr>
        <w:pStyle w:val="Normal"/>
        <w:jc w:val="both"/>
        <w:rPr/>
      </w:pPr>
      <w:r>
        <w:rPr/>
      </w:r>
    </w:p>
    <w:p>
      <w:pPr>
        <w:pStyle w:val="Normal"/>
        <w:tabs>
          <w:tab w:val="clear" w:pos="720"/>
          <w:tab w:val="left" w:pos="810" w:leader="none"/>
          <w:tab w:val="left" w:pos="1170" w:leader="none"/>
        </w:tabs>
        <w:jc w:val="both"/>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11.</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pPr>
      <w:r>
        <w:rPr/>
      </w:r>
    </w:p>
    <w:p>
      <w:pPr>
        <w:pStyle w:val="Normal"/>
        <w:jc w:val="both"/>
        <w:rPr/>
      </w:pPr>
      <w:r>
        <w:rPr/>
        <w:t>12.</w:t>
        <w:tab/>
      </w:r>
      <w:r>
        <w:rPr>
          <w:b/>
          <w:bCs/>
          <w:u w:val="single"/>
        </w:rPr>
        <w:t>Termination Currency.</w:t>
      </w:r>
      <w:r>
        <w:rPr/>
        <w:t xml:space="preserve">  The Termination Currency shall be U.S. Dollars.</w:t>
      </w:r>
    </w:p>
    <w:p>
      <w:pPr>
        <w:pStyle w:val="Normal"/>
        <w:jc w:val="both"/>
        <w:rPr/>
      </w:pPr>
      <w:r>
        <w:rPr/>
      </w:r>
    </w:p>
    <w:p>
      <w:pPr>
        <w:pStyle w:val="Normal"/>
        <w:jc w:val="both"/>
        <w:rPr/>
      </w:pPr>
      <w:r>
        <w:rPr/>
        <w:t>13.</w:t>
        <w:tab/>
      </w:r>
      <w:r>
        <w:rPr>
          <w:b/>
          <w:u w:val="single"/>
        </w:rPr>
        <w:t>Miscellaneous</w:t>
      </w:r>
      <w:r>
        <w:rPr>
          <w:b/>
        </w:rPr>
        <w:t>.</w:t>
      </w:r>
    </w:p>
    <w:p>
      <w:pPr>
        <w:pStyle w:val="Normal"/>
        <w:jc w:val="both"/>
        <w:rPr>
          <w:b/>
          <w:u w:val="single"/>
        </w:rPr>
      </w:pPr>
      <w:r>
        <w:rPr>
          <w:b/>
          <w:u w:val="single"/>
        </w:rPr>
      </w:r>
    </w:p>
    <w:p>
      <w:pPr>
        <w:pStyle w:val="Normal"/>
        <w:jc w:val="both"/>
        <w:rPr/>
      </w:pPr>
      <w:r>
        <w:rPr/>
        <w:t>a)</w:t>
      </w:r>
      <w:r>
        <w:rPr>
          <w:b/>
        </w:rPr>
        <w:t xml:space="preserve"> </w:t>
      </w:r>
      <w:r>
        <w:rPr>
          <w:b/>
          <w:u w:val="single"/>
        </w:rPr>
        <w:t>Additional Representations.</w:t>
      </w:r>
      <w:r>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rPr>
      </w:pPr>
      <w:r>
        <w:rPr>
          <w:color w:val="FF0000"/>
        </w:rPr>
      </w:r>
    </w:p>
    <w:p>
      <w:pPr>
        <w:pStyle w:val="Normal"/>
        <w:numPr>
          <w:ilvl w:val="0"/>
          <w:numId w:val="3"/>
        </w:numPr>
        <w:jc w:val="both"/>
        <w:rPr>
          <w:szCs w:val="22"/>
        </w:rPr>
      </w:pPr>
      <w:r>
        <w:rPr>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Cs w:val="22"/>
        </w:rPr>
      </w:pPr>
      <w:r>
        <w:rPr>
          <w:szCs w:val="22"/>
        </w:rPr>
      </w:r>
    </w:p>
    <w:p>
      <w:pPr>
        <w:pStyle w:val="Normal"/>
        <w:ind w:hanging="720" w:start="1440" w:end="0"/>
        <w:jc w:val="both"/>
        <w:rPr>
          <w:szCs w:val="22"/>
        </w:rPr>
      </w:pPr>
      <w:r>
        <w:rPr>
          <w:szCs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Cs w:val="22"/>
        </w:rPr>
      </w:pPr>
      <w:r>
        <w:rPr>
          <w:szCs w:val="22"/>
        </w:rPr>
      </w:r>
    </w:p>
    <w:p>
      <w:pPr>
        <w:pStyle w:val="Normal"/>
        <w:rPr/>
      </w:pPr>
      <w:r>
        <w:rPr/>
        <w:t xml:space="preserve">b) </w:t>
      </w:r>
      <w:r>
        <w:rPr>
          <w:b/>
          <w:u w:val="single"/>
        </w:rPr>
        <w:t>Legal Opinion.</w:t>
      </w:r>
      <w:r>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rPr>
      </w:pPr>
      <w:r>
        <w:rPr>
          <w:color w:val="FF0000"/>
        </w:rPr>
      </w:r>
    </w:p>
    <w:p>
      <w:pPr>
        <w:pStyle w:val="Normal"/>
        <w:jc w:val="both"/>
        <w:rPr/>
      </w:pPr>
      <w:r>
        <w:rPr/>
        <w:t>c)</w:t>
      </w:r>
      <w:r>
        <w:rPr>
          <w:b/>
        </w:rPr>
        <w:t xml:space="preserve"> </w:t>
      </w:r>
      <w:r>
        <w:rPr>
          <w:b/>
          <w:u w:val="single"/>
        </w:rPr>
        <w:t>Authorization.</w:t>
      </w:r>
      <w:r>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pPr>
      <w:r>
        <w:rPr/>
        <w:t>13.</w:t>
        <w:tab/>
      </w:r>
      <w:r>
        <w:rPr>
          <w:b/>
          <w:u w:val="single"/>
        </w:rPr>
        <w:t>Offices</w:t>
      </w:r>
      <w:r>
        <w:rPr>
          <w:b/>
        </w:rPr>
        <w:t>.</w:t>
      </w:r>
    </w:p>
    <w:p>
      <w:pPr>
        <w:pStyle w:val="Normal"/>
        <w:keepNext w:val="true"/>
        <w:rPr/>
      </w:pPr>
      <w:r>
        <w:rPr/>
      </w:r>
    </w:p>
    <w:p>
      <w:pPr>
        <w:pStyle w:val="Normal"/>
        <w:keepNext w:val="true"/>
        <w:jc w:val="both"/>
        <w:rPr/>
      </w:pPr>
      <w:r>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pPr>
      <w:r>
        <w:rPr/>
      </w:r>
    </w:p>
    <w:p>
      <w:pPr>
        <w:pStyle w:val="Normal"/>
        <w:jc w:val="both"/>
        <w:rPr/>
      </w:pPr>
      <w:r>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pPr>
      <w:r>
        <w:rPr/>
      </w:r>
    </w:p>
    <w:p>
      <w:pPr>
        <w:pStyle w:val="Normal"/>
        <w:keepNext w:val="true"/>
        <w:jc w:val="both"/>
        <w:rPr>
          <w:b/>
          <w:u w:val="single"/>
        </w:rPr>
      </w:pPr>
      <w:r>
        <w:rPr/>
        <w:t>14.</w:t>
        <w:tab/>
      </w:r>
      <w:r>
        <w:rPr>
          <w:b/>
          <w:u w:val="single"/>
        </w:rPr>
        <w:t>Credit or Other Special Provisions</w:t>
      </w:r>
      <w:r>
        <w:rPr>
          <w:b/>
        </w:rPr>
        <w:t>.</w:t>
      </w:r>
    </w:p>
    <w:p>
      <w:pPr>
        <w:pStyle w:val="Normal"/>
        <w:keepNext w:val="true"/>
        <w:jc w:val="both"/>
        <w:rPr>
          <w:b/>
          <w:u w:val="single"/>
        </w:rPr>
      </w:pPr>
      <w:r>
        <w:rPr>
          <w:b/>
          <w:u w:val="single"/>
        </w:rPr>
      </w:r>
    </w:p>
    <w:p>
      <w:pPr>
        <w:pStyle w:val="Normal"/>
        <w:keepNext w:val="true"/>
        <w:jc w:val="both"/>
        <w:rPr/>
      </w:pPr>
      <w:r>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North America Corp. is pleased to have entered into this Transaction with you.</w:t>
      </w:r>
    </w:p>
    <w:p>
      <w:pPr>
        <w:pStyle w:val="Normal"/>
        <w:rPr/>
      </w:pPr>
      <w:r>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rPr>
      </w:pPr>
      <w:r>
        <w:rPr>
          <w:rFonts w:cs="Times New Roman"/>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Normal"/>
        <w:keepNext w:val="true"/>
        <w:rPr>
          <w:b/>
        </w:rPr>
      </w:pPr>
      <w:r>
        <w:rPr>
          <w:b/>
        </w:rPr>
        <w:t>CATEQUIL PARTNERS, L.P.</w:t>
      </w:r>
    </w:p>
    <w:p>
      <w:pPr>
        <w:pStyle w:val="Normal"/>
        <w:keepNext w:val="true"/>
        <w:rPr/>
      </w:pPr>
      <w:r>
        <w:rPr/>
      </w:r>
    </w:p>
    <w:p>
      <w:pPr>
        <w:pStyle w:val="Normal"/>
        <w:keepNext w:val="true"/>
        <w:rPr/>
      </w:pPr>
      <w:r>
        <w:rPr/>
        <w:t>By:</w:t>
        <w:tab/>
        <w:t>_____________________________</w:t>
      </w:r>
    </w:p>
    <w:p>
      <w:pPr>
        <w:pStyle w:val="Normal"/>
        <w:keepNext w:val="true"/>
        <w:rPr/>
      </w:pPr>
      <w:r>
        <w:rPr/>
        <w:t>Name: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pPr>
      <w:r>
        <w:rPr/>
        <w:t>Title:</w:t>
        <w:tab/>
        <w:t>_____________________________</w:t>
      </w:r>
    </w:p>
    <w:p>
      <w:pPr>
        <w:pStyle w:val="Normal"/>
        <w:keepNext w:val="true"/>
        <w:jc w:val="center"/>
        <w:rPr>
          <w:b/>
          <w:color w:val="000000"/>
          <w:u w:val="single"/>
        </w:rPr>
      </w:pPr>
      <w:r>
        <w:rPr>
          <w:b/>
          <w:color w:val="000000"/>
          <w:u w:val="single"/>
        </w:rPr>
        <w:t>EXHIBIT 1</w:t>
      </w:r>
    </w:p>
    <w:p>
      <w:pPr>
        <w:pStyle w:val="Normal"/>
        <w:keepNext w:val="true"/>
        <w:jc w:val="end"/>
        <w:rPr>
          <w:b/>
          <w:color w:val="000000"/>
          <w:u w:val="single"/>
        </w:rPr>
      </w:pPr>
      <w:r>
        <w:rPr>
          <w:b/>
          <w:color w:val="000000"/>
          <w:u w:val="single"/>
        </w:rPr>
      </w:r>
    </w:p>
    <w:p>
      <w:pPr>
        <w:pStyle w:val="Normal"/>
        <w:jc w:val="end"/>
        <w:rPr>
          <w:color w:val="000000"/>
        </w:rPr>
      </w:pPr>
      <w:r>
        <w:rPr>
          <w:color w:val="000000"/>
        </w:rPr>
      </w:r>
    </w:p>
    <w:p>
      <w:pPr>
        <w:pStyle w:val="Normal"/>
        <w:rPr/>
      </w:pPr>
      <w:r>
        <w:rPr/>
      </w:r>
    </w:p>
    <w:p>
      <w:pPr>
        <w:pStyle w:val="Normal"/>
        <w:rPr/>
      </w:pPr>
      <w:r>
        <w:rPr/>
      </w:r>
    </w:p>
    <w:p>
      <w:pPr>
        <w:pStyle w:val="Normal"/>
        <w:jc w:val="center"/>
        <w:rPr/>
      </w:pPr>
      <w:r>
        <w:rPr/>
        <w:t>[Letterhead of</w:t>
      </w:r>
    </w:p>
    <w:p>
      <w:pPr>
        <w:pStyle w:val="Normal"/>
        <w:jc w:val="center"/>
        <w:rPr/>
      </w:pPr>
      <w:r>
        <w:rPr/>
        <w:t>Counsel to Counterparty]</w:t>
      </w:r>
    </w:p>
    <w:p>
      <w:pPr>
        <w:pStyle w:val="Normal"/>
        <w:jc w:val="center"/>
        <w:rPr/>
      </w:pPr>
      <w:r>
        <w:rPr/>
      </w:r>
    </w:p>
    <w:p>
      <w:pPr>
        <w:pStyle w:val="Normal"/>
        <w:jc w:val="center"/>
        <w:rPr/>
      </w:pPr>
      <w:r>
        <w:rPr/>
      </w:r>
    </w:p>
    <w:p>
      <w:pPr>
        <w:pStyle w:val="Normal"/>
        <w:jc w:val="center"/>
        <w:rPr/>
      </w:pPr>
      <w:r>
        <w:rPr/>
        <w:t>[Date]</w:t>
      </w:r>
    </w:p>
    <w:p>
      <w:pPr>
        <w:pStyle w:val="Normal"/>
        <w:jc w:val="center"/>
        <w:rPr/>
      </w:pPr>
      <w:r>
        <w:rPr/>
      </w:r>
    </w:p>
    <w:p>
      <w:pPr>
        <w:pStyle w:val="Normal"/>
        <w:jc w:val="center"/>
        <w:rPr/>
      </w:pPr>
      <w:r>
        <w:rPr/>
      </w:r>
    </w:p>
    <w:p>
      <w:pPr>
        <w:pStyle w:val="Normal"/>
        <w:rPr/>
      </w:pPr>
      <w:r>
        <w:rPr/>
        <w:t>Enron North America Corp.</w:t>
      </w:r>
    </w:p>
    <w:p>
      <w:pPr>
        <w:pStyle w:val="Normal"/>
        <w:rPr/>
      </w:pPr>
      <w:r>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rPr>
      </w:pPr>
      <w:r>
        <w:rPr>
          <w:rFonts w:cs="Times New Roman"/>
        </w:rPr>
      </w:r>
    </w:p>
    <w:p>
      <w:pPr>
        <w:pStyle w:val="Normal"/>
        <w:rPr/>
      </w:pPr>
      <w:r>
        <w:rPr/>
        <w:t>Dear Sir or Madam:</w:t>
      </w:r>
    </w:p>
    <w:p>
      <w:pPr>
        <w:pStyle w:val="Normal"/>
        <w:rPr/>
      </w:pPr>
      <w:r>
        <w:rPr/>
      </w:r>
    </w:p>
    <w:p>
      <w:pPr>
        <w:pStyle w:val="Normal"/>
        <w:ind w:firstLine="1440" w:end="0"/>
        <w:jc w:val="both"/>
        <w:rPr/>
      </w:pPr>
      <w:r>
        <w:rPr/>
        <w:t>We have acted as counsel to Catequil Partners, L.P.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pPr>
      <w:r>
        <w:rPr/>
      </w:r>
    </w:p>
    <w:p>
      <w:pPr>
        <w:pStyle w:val="Normal"/>
        <w:jc w:val="both"/>
        <w:rPr/>
      </w:pPr>
      <w:r>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u w:val="single"/>
        </w:rPr>
        <w:t xml:space="preserve">                                              </w:t>
      </w:r>
      <w:r>
        <w:rPr/>
        <w:t>.</w:t>
      </w:r>
    </w:p>
    <w:p>
      <w:pPr>
        <w:pStyle w:val="Normal"/>
        <w:jc w:val="both"/>
        <w:rPr/>
      </w:pPr>
      <w:r>
        <w:rPr/>
      </w:r>
    </w:p>
    <w:p>
      <w:pPr>
        <w:pStyle w:val="Normal"/>
        <w:jc w:val="both"/>
        <w:rPr/>
      </w:pPr>
      <w:r>
        <w:rPr/>
        <w:tab/>
        <w:tab/>
        <w:t>Based upon the foregoing and having regard for such legal considerations as we deem relevant, we are of opinion that:</w:t>
      </w:r>
    </w:p>
    <w:p>
      <w:pPr>
        <w:pStyle w:val="Normal"/>
        <w:jc w:val="both"/>
        <w:rPr/>
      </w:pPr>
      <w:r>
        <w:rPr/>
      </w:r>
    </w:p>
    <w:p>
      <w:pPr>
        <w:pStyle w:val="Normal"/>
        <w:tabs>
          <w:tab w:val="clear" w:pos="720"/>
          <w:tab w:val="left" w:pos="1440" w:leader="none"/>
        </w:tabs>
        <w:jc w:val="both"/>
        <w:rPr/>
      </w:pPr>
      <w:r>
        <w:rPr/>
        <w:tab/>
        <w:t>1.  The Counterparty is a [__________________] duly existing under the laws of [________________].</w:t>
      </w:r>
    </w:p>
    <w:p>
      <w:pPr>
        <w:pStyle w:val="Normal"/>
        <w:tabs>
          <w:tab w:val="clear" w:pos="720"/>
          <w:tab w:val="left" w:pos="1440" w:leader="none"/>
        </w:tabs>
        <w:jc w:val="both"/>
        <w:rPr/>
      </w:pPr>
      <w:r>
        <w:rPr/>
      </w:r>
    </w:p>
    <w:p>
      <w:pPr>
        <w:pStyle w:val="Normal"/>
        <w:tabs>
          <w:tab w:val="clear" w:pos="720"/>
          <w:tab w:val="left" w:pos="1440" w:leader="none"/>
        </w:tabs>
        <w:jc w:val="both"/>
        <w:rPr/>
      </w:pPr>
      <w:r>
        <w:rPr/>
        <w:tab/>
        <w:t>2.  The Counterparty has full corporate power to execute and deliver the Agreement and to perform its obligations thereunder.</w:t>
      </w:r>
    </w:p>
    <w:p>
      <w:pPr>
        <w:pStyle w:val="Normal"/>
        <w:tabs>
          <w:tab w:val="clear" w:pos="720"/>
          <w:tab w:val="left" w:pos="1440" w:leader="none"/>
        </w:tabs>
        <w:jc w:val="both"/>
        <w:rPr/>
      </w:pPr>
      <w:r>
        <w:rPr/>
      </w:r>
    </w:p>
    <w:p>
      <w:pPr>
        <w:pStyle w:val="Normal"/>
        <w:tabs>
          <w:tab w:val="clear" w:pos="720"/>
          <w:tab w:val="left" w:pos="1440" w:leader="none"/>
        </w:tabs>
        <w:jc w:val="both"/>
        <w:rPr/>
      </w:pPr>
      <w:r>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pPr>
      <w:r>
        <w:rPr/>
      </w:r>
    </w:p>
    <w:p>
      <w:pPr>
        <w:pStyle w:val="Normal"/>
        <w:tabs>
          <w:tab w:val="clear" w:pos="720"/>
          <w:tab w:val="left" w:pos="1440" w:leader="none"/>
        </w:tabs>
        <w:jc w:val="both"/>
        <w:rPr/>
      </w:pPr>
      <w:r>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pPr>
      <w:r>
        <w:rPr/>
      </w:r>
    </w:p>
    <w:p>
      <w:pPr>
        <w:pStyle w:val="Normal"/>
        <w:tabs>
          <w:tab w:val="clear" w:pos="720"/>
          <w:tab w:val="left" w:pos="1440" w:leader="none"/>
        </w:tabs>
        <w:jc w:val="both"/>
        <w:rPr/>
      </w:pPr>
      <w:r>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pPr>
      <w:r>
        <w:rPr/>
      </w:r>
    </w:p>
    <w:p>
      <w:pPr>
        <w:pStyle w:val="Normal"/>
        <w:tabs>
          <w:tab w:val="clear" w:pos="720"/>
          <w:tab w:val="left" w:pos="1440" w:leader="none"/>
        </w:tabs>
        <w:jc w:val="both"/>
        <w:rPr/>
      </w:pPr>
      <w:r>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pPr>
      <w:r>
        <w:rPr/>
      </w:r>
    </w:p>
    <w:p>
      <w:pPr>
        <w:pStyle w:val="Normal"/>
        <w:keepNext w:val="true"/>
        <w:jc w:val="end"/>
        <w:rPr/>
      </w:pPr>
      <w:r>
        <w:rPr/>
        <w:t>Very truly yours</w:t>
        <w:tab/>
        <w:tab/>
        <w:tab/>
      </w:r>
    </w:p>
    <w:p>
      <w:pPr>
        <w:pStyle w:val="Normal"/>
        <w:keepNext w:val="true"/>
        <w:jc w:val="end"/>
        <w:rPr/>
      </w:pPr>
      <w:r>
        <w:rPr/>
      </w:r>
    </w:p>
    <w:p>
      <w:pPr>
        <w:sectPr>
          <w:headerReference w:type="default" r:id="rId4"/>
          <w:footerReference w:type="default" r:id="rId5"/>
          <w:footerReference w:type="first" r:id="rId6"/>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rPr>
      </w:pPr>
      <w:r>
        <w:rPr>
          <w:b/>
        </w:rPr>
      </w:r>
    </w:p>
    <w:p>
      <w:pPr>
        <w:pStyle w:val="Normal"/>
        <w:keepNext w:val="true"/>
        <w:spacing w:lineRule="exact" w:line="240"/>
        <w:jc w:val="center"/>
        <w:rPr>
          <w:b/>
        </w:rPr>
      </w:pPr>
      <w:r>
        <w:rPr>
          <w:b/>
        </w:rPr>
        <w:t>ANNEX A</w:t>
      </w:r>
    </w:p>
    <w:p>
      <w:pPr>
        <w:pStyle w:val="Normal"/>
        <w:keepNext w:val="true"/>
        <w:jc w:val="center"/>
        <w:rPr>
          <w:b/>
        </w:rPr>
      </w:pPr>
      <w:r>
        <w:rPr>
          <w:b/>
        </w:rPr>
      </w:r>
    </w:p>
    <w:p>
      <w:pPr>
        <w:pStyle w:val="Normal"/>
        <w:keepNext w:val="true"/>
        <w:jc w:val="center"/>
        <w:rPr>
          <w:b/>
        </w:rPr>
      </w:pPr>
      <w:r>
        <w:rPr>
          <w:b/>
        </w:rPr>
        <w:t>U.S. WITHHOLDING TAX</w:t>
      </w:r>
    </w:p>
    <w:p>
      <w:pPr>
        <w:pStyle w:val="Normal"/>
        <w:keepNext w:val="true"/>
        <w:jc w:val="center"/>
        <w:rPr>
          <w:b/>
        </w:rPr>
      </w:pPr>
      <w:r>
        <w:rPr>
          <w:b/>
        </w:rPr>
      </w:r>
    </w:p>
    <w:p>
      <w:pPr>
        <w:pStyle w:val="Normal"/>
        <w:jc w:val="center"/>
        <w:rPr>
          <w:b/>
        </w:rPr>
      </w:pPr>
      <w:r>
        <w:rPr>
          <w:b/>
        </w:rPr>
        <w:t>Party A: Enron North America Corp.</w:t>
      </w:r>
    </w:p>
    <w:p>
      <w:pPr>
        <w:pStyle w:val="Normal"/>
        <w:jc w:val="center"/>
        <w:rPr>
          <w:b/>
        </w:rPr>
      </w:pPr>
      <w:r>
        <w:rPr>
          <w:b/>
        </w:rPr>
        <w:t>Party B:  Catequil Partners,  L.P.</w:t>
      </w:r>
    </w:p>
    <w:p>
      <w:pPr>
        <w:pStyle w:val="Normal"/>
        <w:tabs>
          <w:tab w:val="left" w:pos="720" w:leader="none"/>
          <w:tab w:val="left" w:pos="1080" w:leader="none"/>
        </w:tabs>
        <w:spacing w:lineRule="exact" w:line="480"/>
        <w:jc w:val="both"/>
        <w:rPr>
          <w:b/>
        </w:rPr>
      </w:pPr>
      <w:r>
        <w:rPr>
          <w:b/>
        </w:rPr>
        <w:t>I.</w:t>
        <w:tab/>
        <w:t>Tax Representations.</w:t>
      </w:r>
    </w:p>
    <w:p>
      <w:pPr>
        <w:pStyle w:val="Normal"/>
        <w:spacing w:lineRule="exact" w:line="240" w:before="240" w:after="0"/>
        <w:ind w:firstLine="720" w:end="0"/>
        <w:jc w:val="both"/>
        <w:rPr/>
      </w:pPr>
      <w:r>
        <w:rPr>
          <w:bCs/>
        </w:rPr>
        <w:t>(a)</w:t>
      </w:r>
      <w:r>
        <w:rPr>
          <w:b/>
        </w:rPr>
        <w:tab/>
        <w:t xml:space="preserve">Payer Representations.  </w:t>
      </w:r>
      <w:r>
        <w:rPr/>
        <w:t>For the purpose of Section 3(e) of the ISDA Agreement,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bCs/>
        </w:rPr>
        <w:t>(b)</w:t>
      </w:r>
      <w:r>
        <w:rPr>
          <w:b/>
        </w:rPr>
        <w:tab/>
        <w:t>Payee Representations.</w:t>
      </w:r>
      <w:r>
        <w:rPr/>
        <w:t xml:space="preserve">  For the purpose of Section 3(f) of the ISDA Agreement, Party A and Party B make the following representations:</w:t>
      </w:r>
    </w:p>
    <w:p>
      <w:pPr>
        <w:pStyle w:val="Normal"/>
        <w:spacing w:lineRule="exact" w:line="240" w:before="240" w:after="0"/>
        <w:ind w:hanging="180" w:start="900" w:end="0"/>
        <w:jc w:val="both"/>
        <w:rPr/>
      </w:pPr>
      <w:r>
        <w:rPr/>
        <w:t>(i)</w:t>
        <w:tab/>
        <w:t>The following representation applies to Party A:</w:t>
      </w:r>
    </w:p>
    <w:p>
      <w:pPr>
        <w:pStyle w:val="Normal"/>
        <w:spacing w:lineRule="exact" w:line="240" w:before="240" w:after="0"/>
        <w:ind w:firstLine="540" w:start="900" w:end="0"/>
        <w:jc w:val="both"/>
        <w:rPr/>
      </w:pPr>
      <w:r>
        <w:rPr/>
        <w:t>Party A is a corporation organized under the law of the State of Delaware.</w:t>
      </w:r>
    </w:p>
    <w:p>
      <w:pPr>
        <w:pStyle w:val="Normal"/>
        <w:spacing w:lineRule="exact" w:line="240" w:before="240" w:after="0"/>
        <w:ind w:hanging="180" w:start="900" w:end="0"/>
        <w:jc w:val="both"/>
        <w:rPr/>
      </w:pPr>
      <w:r>
        <w:rPr/>
        <w:t>(ii)</w:t>
        <w:tab/>
        <w:t>The following representation applies to Party B:</w:t>
      </w:r>
    </w:p>
    <w:p>
      <w:pPr>
        <w:pStyle w:val="Normal"/>
        <w:spacing w:lineRule="exact" w:line="240" w:before="240" w:after="0"/>
        <w:ind w:firstLine="540" w:start="900" w:end="0"/>
        <w:jc w:val="both"/>
        <w:rPr/>
      </w:pPr>
      <w:r>
        <w:rPr/>
        <w:t xml:space="preserve">Party B is a limited partnership organized under the law of the State of </w:t>
      </w:r>
      <w:r>
        <w:rPr>
          <w:u w:val="single"/>
        </w:rPr>
        <w:tab/>
        <w:tab/>
        <w:tab/>
      </w:r>
    </w:p>
    <w:p>
      <w:pPr>
        <w:pStyle w:val="Normal"/>
        <w:tabs>
          <w:tab w:val="clear" w:pos="720"/>
          <w:tab w:val="left" w:pos="1080" w:leader="none"/>
        </w:tabs>
        <w:spacing w:lineRule="exact" w:line="480"/>
        <w:jc w:val="both"/>
        <w:rPr>
          <w:b/>
        </w:rPr>
      </w:pPr>
      <w:r>
        <w:rPr>
          <w:b/>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pPr>
      <w:r>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rPr>
      </w:pPr>
      <w:r>
        <w:rPr>
          <w:b/>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rPr>
        <w:t>III.</w:t>
        <w:tab/>
        <w:t xml:space="preserve">Definitions. </w:t>
      </w:r>
      <w:r>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u w:val="single"/>
        </w:rPr>
      </w:pPr>
      <w:r>
        <w:rPr>
          <w:b/>
          <w:u w:val="single"/>
        </w:rPr>
      </w:r>
    </w:p>
    <w:p>
      <w:pPr>
        <w:pStyle w:val="Normal"/>
        <w:jc w:val="center"/>
        <w:rPr>
          <w:b/>
          <w:u w:val="single"/>
        </w:rPr>
      </w:pPr>
      <w:r>
        <w:rPr>
          <w:b/>
          <w:u w:val="single"/>
        </w:rPr>
        <w:t>ANNEX B</w:t>
      </w:r>
    </w:p>
    <w:p>
      <w:pPr>
        <w:pStyle w:val="Normal"/>
        <w:jc w:val="center"/>
        <w:rPr>
          <w:b/>
          <w:u w:val="single"/>
        </w:rPr>
      </w:pPr>
      <w:r>
        <w:rPr>
          <w:b/>
          <w:u w:val="single"/>
        </w:rPr>
      </w:r>
    </w:p>
    <w:p>
      <w:pPr>
        <w:pStyle w:val="Normal"/>
        <w:jc w:val="center"/>
        <w:rPr>
          <w:b/>
        </w:rPr>
      </w:pPr>
      <w:r>
        <w:rPr>
          <w:b/>
        </w:rPr>
        <w:t>CREDIT AND OTHER SPECIAL PROVISIONS</w:t>
      </w:r>
    </w:p>
    <w:p>
      <w:pPr>
        <w:pStyle w:val="Normal"/>
        <w:rPr>
          <w:b/>
        </w:rPr>
      </w:pPr>
      <w:r>
        <w:rPr>
          <w:b/>
        </w:rPr>
      </w:r>
    </w:p>
    <w:p>
      <w:pPr>
        <w:pStyle w:val="Normal"/>
        <w:jc w:val="center"/>
        <w:rPr>
          <w:b/>
        </w:rPr>
      </w:pPr>
      <w:r>
        <w:rPr>
          <w:b/>
        </w:rPr>
      </w:r>
    </w:p>
    <w:p>
      <w:pPr>
        <w:pStyle w:val="Normal"/>
        <w:jc w:val="both"/>
        <w:rPr/>
      </w:pPr>
      <w:r>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t>1.</w:t>
        <w:tab/>
      </w:r>
      <w:r>
        <w:rPr>
          <w:u w:val="single"/>
        </w:rPr>
        <w:t>Additional Events of Default</w:t>
      </w:r>
      <w:r>
        <w:rPr/>
        <w:t>. The following will constitute additional Events of Default for purposes of Section 5(a) of the ISDA Agreement:</w:t>
      </w:r>
    </w:p>
    <w:p>
      <w:pPr>
        <w:pStyle w:val="Normal"/>
        <w:jc w:val="both"/>
        <w:rPr>
          <w:b/>
          <w:u w:val="single"/>
        </w:rPr>
      </w:pPr>
      <w:r>
        <w:rPr>
          <w:b/>
          <w:u w:val="single"/>
        </w:rPr>
      </w:r>
    </w:p>
    <w:p>
      <w:pPr>
        <w:pStyle w:val="Normal"/>
        <w:ind w:hanging="360" w:start="720" w:end="0"/>
        <w:jc w:val="both"/>
        <w:rPr/>
      </w:pPr>
      <w:r>
        <w:rPr/>
        <w:t>(i)</w:t>
        <w:tab/>
        <w:t>The following Events of Default are added to Section 5(a) of the ISDA Agreement:</w:t>
      </w:r>
    </w:p>
    <w:p>
      <w:pPr>
        <w:pStyle w:val="Normal"/>
        <w:ind w:hanging="720" w:start="720" w:end="0"/>
        <w:jc w:val="both"/>
        <w:rPr/>
      </w:pPr>
      <w:r>
        <w:rPr/>
      </w:r>
    </w:p>
    <w:p>
      <w:pPr>
        <w:pStyle w:val="Normal"/>
        <w:ind w:hanging="720" w:start="1440" w:end="0"/>
        <w:jc w:val="both"/>
        <w:rPr/>
      </w:pPr>
      <w:r>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pPr>
      <w:r>
        <w:rPr/>
      </w:r>
    </w:p>
    <w:p>
      <w:pPr>
        <w:pStyle w:val="Normal"/>
        <w:ind w:firstLine="720" w:end="0"/>
        <w:jc w:val="both"/>
        <w:rPr/>
      </w:pPr>
      <w:r>
        <w:rPr/>
        <w:t>(x)</w:t>
        <w:tab/>
      </w:r>
      <w:r>
        <w:rPr>
          <w:szCs w:val="22"/>
        </w:rPr>
        <w:t>if in any twelve (12) month period the Net Asset Value of Counterparty declines by more than 50 %; or</w:t>
      </w:r>
    </w:p>
    <w:p>
      <w:pPr>
        <w:pStyle w:val="Normal"/>
        <w:numPr>
          <w:ilvl w:val="0"/>
          <w:numId w:val="2"/>
        </w:numPr>
        <w:spacing w:before="120" w:after="0"/>
        <w:jc w:val="both"/>
        <w:rPr>
          <w:szCs w:val="22"/>
        </w:rPr>
      </w:pPr>
      <w:r>
        <w:rPr>
          <w:szCs w:val="22"/>
        </w:rPr>
        <w:t>if the ratio of Counterparty’s Liabilities to Net Asset Value is more than 10 to 1; or</w:t>
      </w:r>
    </w:p>
    <w:p>
      <w:pPr>
        <w:pStyle w:val="Normal"/>
        <w:spacing w:before="120" w:after="0"/>
        <w:ind w:firstLine="1530" w:start="-810" w:end="0"/>
        <w:jc w:val="both"/>
        <w:rPr>
          <w:szCs w:val="22"/>
        </w:rPr>
      </w:pPr>
      <w:r>
        <w:rPr>
          <w:szCs w:val="22"/>
        </w:rPr>
        <w:t>(xii)</w:t>
        <w:tab/>
        <w:t>if Counterparty’s Net Asset Value falls below U.S. $50,000,000; or</w:t>
      </w:r>
    </w:p>
    <w:p>
      <w:pPr>
        <w:pStyle w:val="Normal"/>
        <w:spacing w:before="120" w:after="0"/>
        <w:ind w:hanging="720" w:start="1440" w:end="0"/>
        <w:jc w:val="both"/>
        <w:rPr>
          <w:szCs w:val="22"/>
        </w:rPr>
      </w:pPr>
      <w:r>
        <w:rPr>
          <w:szCs w:val="22"/>
        </w:rPr>
        <w:t>(xiii)</w:t>
        <w:tab/>
        <w:t>if Counterparty’s Manager resigns, is terminated or is otherwise incapacitated for a period exceeding one month; or</w:t>
      </w:r>
    </w:p>
    <w:p>
      <w:pPr>
        <w:pStyle w:val="Normal"/>
        <w:spacing w:before="120" w:after="0"/>
        <w:ind w:hanging="720" w:start="1440" w:end="0"/>
        <w:jc w:val="both"/>
        <w:rPr>
          <w:szCs w:val="22"/>
        </w:rPr>
      </w:pPr>
      <w:r>
        <w:rPr>
          <w:szCs w:val="22"/>
        </w:rPr>
        <w:t>(xiv)</w:t>
        <w:tab/>
        <w:t>if Counterparty’s Management Agreement is terminated by either the Manager or Counterparty (including breach of the Management Agreement or the Investment Policy).”</w:t>
      </w:r>
    </w:p>
    <w:p>
      <w:pPr>
        <w:pStyle w:val="Normal"/>
        <w:tabs>
          <w:tab w:val="clear" w:pos="720"/>
          <w:tab w:val="left" w:pos="1440" w:leader="none"/>
          <w:tab w:val="left" w:pos="2160" w:leader="none"/>
          <w:tab w:val="left" w:pos="9000" w:leader="none"/>
        </w:tabs>
        <w:spacing w:lineRule="atLeast" w:line="240"/>
        <w:ind w:hanging="720" w:start="1440" w:end="0"/>
        <w:jc w:val="both"/>
        <w:rPr>
          <w:szCs w:val="22"/>
        </w:rPr>
      </w:pPr>
      <w:r>
        <w:rPr>
          <w:szCs w:val="22"/>
        </w:rPr>
      </w:r>
    </w:p>
    <w:p>
      <w:pPr>
        <w:pStyle w:val="Normal"/>
        <w:ind w:hanging="720" w:start="360" w:end="0"/>
        <w:jc w:val="both"/>
        <w:rPr/>
      </w:pPr>
      <w:r>
        <w:rPr/>
        <w:tab/>
        <w:t>(ii)</w:t>
        <w:tab/>
        <w:t>Cross Default:</w:t>
      </w:r>
    </w:p>
    <w:p>
      <w:pPr>
        <w:pStyle w:val="Normal"/>
        <w:ind w:hanging="720" w:start="720" w:end="0"/>
        <w:jc w:val="both"/>
        <w:rPr/>
      </w:pPr>
      <w:r>
        <w:rPr/>
      </w:r>
    </w:p>
    <w:p>
      <w:pPr>
        <w:pStyle w:val="Normal"/>
        <w:ind w:start="720" w:end="0"/>
        <w:jc w:val="both"/>
        <w:rPr/>
      </w:pPr>
      <w:r>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rPr>
        <w:t xml:space="preserve">; </w:t>
      </w:r>
      <w:r>
        <w:rPr/>
        <w:t xml:space="preserve">and with respect to Party B, U.S. $2,000,000 (or its equivalent in another currency); </w:t>
      </w:r>
      <w:r>
        <w:rPr>
          <w:u w:val="single"/>
        </w:rPr>
        <w:t>provided</w:t>
      </w:r>
      <w:r>
        <w:rPr/>
        <w:t xml:space="preserve">, </w:t>
      </w:r>
      <w:r>
        <w:rPr>
          <w:u w:val="single"/>
        </w:rPr>
        <w:t>that,</w:t>
      </w:r>
      <w:r>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pPr>
      <w:r>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t>2.</w:t>
        <w:tab/>
      </w:r>
      <w:r>
        <w:rPr>
          <w:u w:val="single"/>
        </w:rPr>
        <w:t>Additional General Definitions</w:t>
      </w:r>
      <w:r>
        <w:rPr/>
        <w:t>.  The following definitions are hereby added to Section 14 of the ISDA Agreement:</w:t>
      </w:r>
    </w:p>
    <w:p>
      <w:pPr>
        <w:pStyle w:val="Normal"/>
        <w:spacing w:lineRule="atLeast" w:line="240"/>
        <w:jc w:val="both"/>
        <w:rPr/>
      </w:pPr>
      <w:r>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u w:val="single"/>
        </w:rPr>
      </w:pPr>
      <w:r>
        <w:rPr>
          <w:i/>
        </w:rPr>
        <w:t>"</w:t>
      </w:r>
      <w:r>
        <w:rPr>
          <w:i/>
          <w:u w:val="single"/>
        </w:rPr>
        <w:t>Credit Support Provider</w:t>
      </w:r>
      <w:r>
        <w:rPr>
          <w:i/>
        </w:rPr>
        <w:t>"</w:t>
      </w:r>
      <w:r>
        <w:rPr/>
        <w:t xml:space="preserve"> means, with respect to ENA only, Enron Corp.</w:t>
      </w:r>
    </w:p>
    <w:p>
      <w:pPr>
        <w:pStyle w:val="BodyTextIndent"/>
        <w:spacing w:lineRule="atLeast" w:line="240"/>
        <w:ind w:hanging="0" w:start="360" w:end="0"/>
        <w:rPr/>
      </w:pPr>
      <w:r>
        <w:rPr>
          <w:i/>
          <w:iCs/>
          <w:color w:val="000000"/>
        </w:rPr>
        <w:t>“</w:t>
      </w:r>
      <w:r>
        <w:rPr>
          <w:i/>
          <w:iCs/>
          <w:color w:val="000000"/>
          <w:u w:val="single"/>
        </w:rPr>
        <w:t>Investment Policy</w:t>
      </w:r>
      <w:r>
        <w:rPr>
          <w:i/>
          <w:iCs/>
          <w:color w:val="000000"/>
        </w:rPr>
        <w:t>”</w:t>
      </w:r>
      <w:r>
        <w:rPr>
          <w:b/>
          <w:bCs/>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iCs/>
          <w:szCs w:val="22"/>
        </w:rPr>
        <w:t>“</w:t>
      </w:r>
      <w:r>
        <w:rPr>
          <w:i/>
          <w:iCs/>
          <w:szCs w:val="22"/>
          <w:u w:val="single"/>
        </w:rPr>
        <w:t>Liabilities</w:t>
      </w:r>
      <w:r>
        <w:rPr>
          <w:i/>
          <w:iCs/>
          <w:szCs w:val="22"/>
        </w:rPr>
        <w:t>”</w:t>
      </w:r>
      <w:r>
        <w:rPr>
          <w:b/>
          <w:bCs/>
          <w:szCs w:val="22"/>
        </w:rPr>
        <w:t xml:space="preserve"> </w:t>
      </w:r>
      <w:r>
        <w:rPr>
          <w:szCs w:val="22"/>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iCs/>
          <w:szCs w:val="22"/>
        </w:rPr>
        <w:t>“</w:t>
      </w:r>
      <w:r>
        <w:rPr>
          <w:i/>
          <w:iCs/>
          <w:szCs w:val="22"/>
          <w:u w:val="single"/>
        </w:rPr>
        <w:t>Management Agreement</w:t>
      </w:r>
      <w:r>
        <w:rPr>
          <w:i/>
          <w:iCs/>
          <w:szCs w:val="22"/>
        </w:rPr>
        <w:t>”</w:t>
      </w:r>
      <w:r>
        <w:rPr>
          <w:b/>
          <w:bCs/>
          <w:szCs w:val="22"/>
        </w:rPr>
        <w:t xml:space="preserve"> </w:t>
      </w:r>
      <w:r>
        <w:rPr>
          <w:szCs w:val="22"/>
        </w:rPr>
        <w:t>means that certain agreement dated ____________ between Counterparty and the Manager for managing the operations and affairs of Counterparty.</w:t>
      </w:r>
    </w:p>
    <w:p>
      <w:pPr>
        <w:pStyle w:val="BodyTextIndent"/>
        <w:spacing w:lineRule="atLeast" w:line="240"/>
        <w:ind w:hanging="0" w:start="360" w:end="0"/>
        <w:rPr/>
      </w:pPr>
      <w:r>
        <w:rPr>
          <w:i/>
          <w:iCs/>
          <w:color w:val="000000"/>
        </w:rPr>
        <w:t>“</w:t>
      </w:r>
      <w:r>
        <w:rPr>
          <w:i/>
          <w:iCs/>
          <w:color w:val="000000"/>
          <w:u w:val="single"/>
        </w:rPr>
        <w:t>Manager</w:t>
      </w:r>
      <w:r>
        <w:rPr>
          <w:i/>
          <w:iCs/>
          <w:color w:val="000000"/>
        </w:rPr>
        <w:t>”</w:t>
      </w:r>
      <w:r>
        <w:rPr>
          <w:b/>
          <w:bCs/>
          <w:color w:val="000000"/>
        </w:rPr>
        <w:t xml:space="preserve"> </w:t>
      </w:r>
      <w:r>
        <w:rPr>
          <w:color w:val="000000"/>
        </w:rPr>
        <w:t>means Catequil Asset Management, L.P., together with the managing members as of the date of this Agreement of Catequil GP, LLC, the general partner of Catequil Asset Management, L.P.</w:t>
      </w:r>
    </w:p>
    <w:p>
      <w:pPr>
        <w:pStyle w:val="Normal"/>
        <w:jc w:val="both"/>
        <w:rPr>
          <w:color w:val="000000"/>
        </w:rPr>
      </w:pPr>
      <w:r>
        <w:rPr>
          <w:color w:val="000000"/>
        </w:rPr>
      </w:r>
    </w:p>
    <w:p>
      <w:pPr>
        <w:pStyle w:val="Normal"/>
        <w:ind w:start="360" w:end="0"/>
        <w:jc w:val="both"/>
        <w:rPr/>
      </w:pPr>
      <w:r>
        <w:rPr>
          <w:i/>
          <w:iCs/>
          <w:szCs w:val="22"/>
        </w:rPr>
        <w:t xml:space="preserve"> “</w:t>
      </w:r>
      <w:r>
        <w:rPr>
          <w:i/>
          <w:iCs/>
          <w:szCs w:val="22"/>
          <w:u w:val="single"/>
        </w:rPr>
        <w:t>Net Asset Value</w:t>
      </w:r>
      <w:r>
        <w:rPr>
          <w:i/>
          <w:iCs/>
          <w:szCs w:val="22"/>
        </w:rPr>
        <w:t>”</w:t>
      </w:r>
      <w:r>
        <w:rPr>
          <w:b/>
          <w:bCs/>
          <w:szCs w:val="22"/>
        </w:rPr>
        <w:t xml:space="preserve"> </w:t>
      </w:r>
      <w:r>
        <w:rPr>
          <w:szCs w:val="22"/>
        </w:rPr>
        <w:t>means ____________________________.</w:t>
      </w:r>
    </w:p>
    <w:p>
      <w:pPr>
        <w:pStyle w:val="Normal"/>
        <w:ind w:start="360" w:end="0"/>
        <w:jc w:val="both"/>
        <w:rPr>
          <w:i/>
          <w:i/>
          <w:szCs w:val="22"/>
        </w:rPr>
      </w:pPr>
      <w:r>
        <w:rPr>
          <w:i/>
          <w:szCs w:val="22"/>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t>3.</w:t>
        <w:tab/>
      </w:r>
      <w:r>
        <w:rPr>
          <w:u w:val="single"/>
        </w:rPr>
        <w:t>Credit Support Documents</w:t>
      </w:r>
      <w:r>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u w:val="single"/>
        </w:rPr>
      </w:pPr>
      <w:r>
        <w:rPr>
          <w:b/>
          <w:u w:val="single"/>
        </w:rPr>
      </w:r>
    </w:p>
    <w:p>
      <w:pPr>
        <w:pStyle w:val="Normal"/>
        <w:ind w:start="360" w:end="0"/>
        <w:jc w:val="both"/>
        <w:rPr/>
      </w:pPr>
      <w:r>
        <w:rPr/>
        <w:t>"</w:t>
      </w:r>
      <w:r>
        <w:rPr>
          <w:u w:val="single"/>
        </w:rPr>
        <w:t>Credit Support Documents - Collateral Annex</w:t>
      </w:r>
      <w:r>
        <w:rPr/>
        <w:t>.  Counterparty and ENA shall establish, maintain, renew, substitute and increase Performance Assurance as (and only to the extent) required by Annex B-1, which shall be a Credit Support Document."</w:t>
      </w:r>
    </w:p>
    <w:p>
      <w:pPr>
        <w:pStyle w:val="Normal"/>
        <w:jc w:val="both"/>
        <w:rPr/>
      </w:pPr>
      <w:r>
        <w:rPr/>
      </w:r>
    </w:p>
    <w:p>
      <w:pPr>
        <w:pStyle w:val="Normal"/>
        <w:ind w:start="360" w:end="0"/>
        <w:jc w:val="both"/>
        <w:rPr/>
      </w:pPr>
      <w:r>
        <w:rPr/>
        <w:t>"</w:t>
      </w:r>
      <w:r>
        <w:rPr>
          <w:u w:val="single"/>
        </w:rPr>
        <w:t>Credit Support Documents - Guaranty</w:t>
      </w:r>
      <w:r>
        <w:rPr/>
        <w:t>.  Within ten (10) Business Days of the date of this Confirmation, ENA shall cause to be delivered to Counterparty the duly executed guaranty (</w:t>
      </w:r>
      <w:r>
        <w:rPr>
          <w:i/>
        </w:rPr>
        <w:t>"</w:t>
      </w:r>
      <w:r>
        <w:rPr>
          <w:i/>
          <w:u w:val="single"/>
        </w:rPr>
        <w:t>Guaranty</w:t>
      </w:r>
      <w:r>
        <w:rPr>
          <w:i/>
        </w:rPr>
        <w:t>"</w:t>
      </w:r>
      <w:r>
        <w:rPr/>
        <w:t>) from its Credit Support Provider in favor of Counterparty in the form attached as Annex B-2, which shall be a Credit Support Document."</w:t>
      </w:r>
    </w:p>
    <w:p>
      <w:pPr>
        <w:pStyle w:val="Normal"/>
        <w:jc w:val="both"/>
        <w:rPr/>
      </w:pPr>
      <w:r>
        <w:rPr/>
      </w:r>
    </w:p>
    <w:p>
      <w:pPr>
        <w:pStyle w:val="Normal"/>
        <w:jc w:val="both"/>
        <w:rPr/>
      </w:pPr>
      <w:r>
        <w:rPr/>
        <w:t>4.</w:t>
        <w:tab/>
      </w:r>
      <w:r>
        <w:rPr>
          <w:u w:val="single"/>
        </w:rPr>
        <w:t>Financial Information</w:t>
      </w:r>
      <w:r>
        <w:rPr/>
        <w:t>.</w:t>
      </w:r>
    </w:p>
    <w:p>
      <w:pPr>
        <w:pStyle w:val="Normal"/>
        <w:ind w:hanging="720" w:start="720" w:end="0"/>
        <w:jc w:val="both"/>
        <w:rPr>
          <w:b/>
        </w:rPr>
      </w:pPr>
      <w:r>
        <w:rPr>
          <w:b/>
        </w:rPr>
      </w:r>
    </w:p>
    <w:p>
      <w:pPr>
        <w:pStyle w:val="Normal"/>
        <w:jc w:val="both"/>
        <w:rPr/>
      </w:pPr>
      <w:r>
        <w:rPr/>
        <w:tab/>
        <w:t>The following documents are hereby required to be delivered pursuant to Section 4(a) of the ISDA Agreement:</w:t>
      </w:r>
    </w:p>
    <w:p>
      <w:pPr>
        <w:pStyle w:val="Normal"/>
        <w:jc w:val="both"/>
        <w:rPr/>
      </w:pPr>
      <w:r>
        <w:rPr/>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rPr>
        <w:t>"</w:t>
      </w:r>
      <w:r>
        <w:rPr>
          <w:i/>
          <w:u w:val="single"/>
        </w:rPr>
        <w:t>GAAP</w:t>
      </w:r>
      <w:r>
        <w:rPr>
          <w:i/>
        </w:rPr>
        <w:t>"</w:t>
      </w:r>
      <w:r>
        <w:rPr/>
        <w:t xml:space="preserve">), and further with respect to ENA, only if Enron Corp.’s annual consolidated financial statements are not available on “EDGAR” or Enron Corp.’s home page on the World Wide Web at www.enron.com; </w:t>
      </w:r>
      <w:r>
        <w:rPr>
          <w:sz w:val="18"/>
        </w:rPr>
        <w:t xml:space="preserve"> </w:t>
      </w:r>
      <w:r>
        <w:rPr/>
        <w:t xml:space="preserve">(ii)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1">
        <w:r>
          <w:rPr>
            <w:rStyle w:val="Hyperlink"/>
          </w:rPr>
          <w:t>www.enron.com</w:t>
        </w:r>
      </w:hyperlink>
      <w:r>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rPr>
      </w:pPr>
      <w:r>
        <w:rPr>
          <w:b/>
          <w:u w:val="single"/>
        </w:rPr>
        <w:t>ANNEX B-1</w:t>
      </w:r>
    </w:p>
    <w:p>
      <w:pPr>
        <w:pStyle w:val="Normal"/>
        <w:jc w:val="center"/>
        <w:rPr>
          <w:b/>
          <w:u w:val="single"/>
        </w:rPr>
      </w:pPr>
      <w:r>
        <w:rPr>
          <w:b/>
          <w:u w:val="single"/>
        </w:rPr>
        <w:t>COLLATERAL AND EXPOSURE PROVISIONS</w:t>
      </w:r>
    </w:p>
    <w:p>
      <w:pPr>
        <w:pStyle w:val="Normal"/>
        <w:jc w:val="center"/>
        <w:rPr/>
      </w:pPr>
      <w:r>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pPr>
      <w:r>
        <w:rPr/>
      </w:r>
    </w:p>
    <w:p>
      <w:pPr>
        <w:pStyle w:val="Normal"/>
        <w:jc w:val="both"/>
        <w:rPr/>
      </w:pPr>
      <w:r>
        <w:rPr/>
      </w:r>
    </w:p>
    <w:p>
      <w:pPr>
        <w:pStyle w:val="Normal"/>
        <w:jc w:val="both"/>
        <w:rPr/>
      </w:pPr>
      <w:r>
        <w:rPr/>
        <w:tab/>
        <w:t xml:space="preserve">1.  </w:t>
      </w:r>
      <w:r>
        <w:rPr>
          <w:u w:val="single"/>
        </w:rPr>
        <w:t>Certain Definitions</w:t>
      </w:r>
      <w:r>
        <w:rPr/>
        <w:t>.  As used herein:</w:t>
      </w:r>
    </w:p>
    <w:p>
      <w:pPr>
        <w:pStyle w:val="Normal"/>
        <w:jc w:val="both"/>
        <w:rPr/>
      </w:pPr>
      <w:r>
        <w:rPr/>
      </w:r>
    </w:p>
    <w:p>
      <w:pPr>
        <w:pStyle w:val="Normal"/>
        <w:tabs>
          <w:tab w:val="left" w:pos="720" w:leader="none"/>
        </w:tabs>
        <w:ind w:hanging="1440" w:start="1440" w:end="0"/>
        <w:jc w:val="both"/>
        <w:rPr/>
      </w:pPr>
      <w:r>
        <w:rPr>
          <w:i/>
        </w:rPr>
        <w:tab/>
      </w:r>
      <w:r>
        <w:rPr/>
        <w:t>(a)</w:t>
        <w:tab/>
      </w:r>
      <w:r>
        <w:rPr>
          <w:i/>
        </w:rPr>
        <w:t>"</w:t>
      </w:r>
      <w:r>
        <w:rPr>
          <w:i/>
          <w:u w:val="single"/>
        </w:rPr>
        <w:t>Additional Amount</w:t>
      </w:r>
      <w:r>
        <w:rPr>
          <w:i/>
        </w:rPr>
        <w:t>"</w:t>
      </w:r>
      <w:r>
        <w:rPr/>
        <w:t xml:space="preserve"> shall mean, </w:t>
      </w:r>
      <w:r>
        <w:rPr>
          <w:szCs w:val="24"/>
        </w:rPr>
        <w:t>with respect to ENA, the amount specified as such for ENA in each Confirmation, or if no amount is specified, zero and means with respect to Counterparty, the amount calculated as follows: on any Business Day, ENA shall have the right to adjust the Independent Amount due from Counterparty due to changes in the volatility of relevant markets or of Counterparty’s portfolio of transactions with ENA (“Counterparty’s Portfolio”).  ENA will calculate such Independent Amount based on its internal Value at Risk (“VAR”) calculation for up to ten (10) days of VAR with respect to Counterparty’s Portfolio, provided, however, that in no event shall Counterparty’s Additional Amount be less than $250,000 if there are any outstanding transactions.</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(b)</w:t>
        <w:tab/>
        <w:t>“</w:t>
      </w:r>
      <w:r>
        <w:rPr>
          <w:i/>
          <w:u w:val="single"/>
        </w:rPr>
        <w:t>Business Day</w:t>
      </w:r>
      <w:r>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pPr>
      <w:r>
        <w:rPr/>
        <w:t xml:space="preserve"> </w:t>
      </w:r>
    </w:p>
    <w:p>
      <w:pPr>
        <w:pStyle w:val="Normal"/>
        <w:tabs>
          <w:tab w:val="left" w:pos="720" w:leader="none"/>
        </w:tabs>
        <w:ind w:hanging="1440" w:start="1440" w:end="0"/>
        <w:jc w:val="both"/>
        <w:rPr/>
      </w:pPr>
      <w:r>
        <w:rPr/>
        <w:tab/>
        <w:t>(c)</w:t>
        <w:tab/>
        <w:t xml:space="preserve">The </w:t>
      </w:r>
      <w:r>
        <w:rPr>
          <w:i/>
        </w:rPr>
        <w:t>"</w:t>
      </w:r>
      <w:r>
        <w:rPr>
          <w:i/>
          <w:u w:val="single"/>
        </w:rPr>
        <w:t>Collateral Requirement</w:t>
      </w:r>
      <w:r>
        <w:rPr>
          <w:i/>
        </w:rPr>
        <w:t>"</w:t>
      </w:r>
      <w:r>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pPr>
      <w:r>
        <w:rPr/>
      </w:r>
    </w:p>
    <w:p>
      <w:pPr>
        <w:pStyle w:val="Normal"/>
        <w:tabs>
          <w:tab w:val="left" w:pos="720" w:leader="none"/>
        </w:tabs>
        <w:ind w:hanging="1440" w:start="1440" w:end="0"/>
        <w:jc w:val="both"/>
        <w:rPr/>
      </w:pPr>
      <w:r>
        <w:rPr/>
        <w:tab/>
        <w:t>(d)</w:t>
        <w:tab/>
        <w:t xml:space="preserve">The </w:t>
      </w:r>
      <w:r>
        <w:rPr>
          <w:i/>
        </w:rPr>
        <w:t>"</w:t>
      </w:r>
      <w:r>
        <w:rPr>
          <w:i/>
          <w:u w:val="single"/>
        </w:rPr>
        <w:t>Current Value</w:t>
      </w:r>
      <w:r>
        <w:rPr>
          <w:i/>
        </w:rPr>
        <w:t>"</w:t>
      </w:r>
      <w:r>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tab/>
        <w:t>(e)</w:t>
        <w:tab/>
      </w:r>
      <w:r>
        <w:rPr>
          <w:i/>
        </w:rPr>
        <w:t>"</w:t>
      </w:r>
      <w:r>
        <w:rPr>
          <w:i/>
          <w:u w:val="single"/>
        </w:rPr>
        <w:t>Exposure</w:t>
      </w:r>
      <w:r>
        <w:rPr>
          <w:i/>
        </w:rPr>
        <w:t>"</w:t>
      </w:r>
      <w:r>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t>(f)</w:t>
        <w:tab/>
      </w:r>
      <w:r>
        <w:rPr>
          <w:i/>
        </w:rPr>
        <w:t>"</w:t>
      </w:r>
      <w:r>
        <w:rPr>
          <w:i/>
          <w:u w:val="single"/>
        </w:rPr>
        <w:t>Exposure Threshold</w:t>
      </w:r>
      <w:r>
        <w:rPr>
          <w:i/>
        </w:rPr>
        <w:t>"</w:t>
      </w:r>
      <w:r>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(g)</w:t>
        <w:tab/>
      </w:r>
      <w:r>
        <w:rPr>
          <w:i/>
        </w:rPr>
        <w:t>"</w:t>
      </w:r>
      <w:r>
        <w:rPr>
          <w:i/>
          <w:u w:val="single"/>
        </w:rPr>
        <w:t>Exposure Amount</w:t>
      </w:r>
      <w:r>
        <w:rPr>
          <w:i/>
        </w:rPr>
        <w:t>"</w:t>
      </w:r>
      <w:r>
        <w:rPr/>
        <w:t xml:space="preserve"> for each party shall be calculated for all Swaps by calculating each party's Exposure to the other party in respect of all Swaps.  The party having the greater Exposure Amount at any time (the </w:t>
      </w:r>
      <w:r>
        <w:rPr>
          <w:i/>
        </w:rPr>
        <w:t>"</w:t>
      </w:r>
      <w:r>
        <w:rPr>
          <w:i/>
          <w:u w:val="single"/>
        </w:rPr>
        <w:t>Exposed Party</w:t>
      </w:r>
      <w:r>
        <w:rPr>
          <w:i/>
        </w:rPr>
        <w:t>"</w:t>
      </w:r>
      <w:r>
        <w:rPr/>
        <w:t xml:space="preserve">) shall be deemed to have a "Net Exposure" to the other party (the </w:t>
      </w:r>
      <w:r>
        <w:rPr>
          <w:i/>
        </w:rPr>
        <w:t>"</w:t>
      </w:r>
      <w:r>
        <w:rPr>
          <w:i/>
          <w:u w:val="single"/>
        </w:rPr>
        <w:t>Non-Exposed Party</w:t>
      </w:r>
      <w:r>
        <w:rPr>
          <w:i/>
        </w:rPr>
        <w:t>"</w:t>
      </w:r>
      <w:r>
        <w:rPr/>
        <w:t>) equal to the difference between its Exposure Amount and the other party's Exposure Amount.</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(h)</w:t>
        <w:tab/>
        <w:t>"</w:t>
      </w:r>
      <w:r>
        <w:rPr>
          <w:i/>
          <w:u w:val="single"/>
        </w:rPr>
        <w:t>Interest Amount</w:t>
      </w:r>
      <w:r>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u w:val="single"/>
        </w:rPr>
        <w:t>Interest Period</w:t>
      </w:r>
      <w:r>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u w:val="single"/>
        </w:rPr>
        <w:t>Interest Rate</w:t>
      </w:r>
      <w:r>
        <w:rPr/>
        <w:t>" shall be the Federal Funds Overnight Rate as from time to time in effect.  "</w:t>
      </w:r>
      <w:r>
        <w:rPr>
          <w:i/>
          <w:u w:val="single"/>
        </w:rPr>
        <w:t>Federal Funds Overnight Rate</w:t>
      </w:r>
      <w:r>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pPr>
      <w:r>
        <w:rPr/>
      </w:r>
    </w:p>
    <w:p>
      <w:pPr>
        <w:pStyle w:val="Normal"/>
        <w:ind w:hanging="720" w:start="1440" w:end="0"/>
        <w:jc w:val="both"/>
        <w:rPr/>
      </w:pPr>
      <w:r>
        <w:rPr/>
        <w:t>(i)</w:t>
        <w:tab/>
        <w:t>"</w:t>
      </w:r>
      <w:r>
        <w:rPr>
          <w:i/>
          <w:u w:val="single"/>
        </w:rPr>
        <w:t>Performance Assurance</w:t>
      </w:r>
      <w:r>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4 of this Annex; and (iii) all proceeds of all of the foregoing property that have been Transferred to or received by the Exposed Party hereunder.</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(j)</w:t>
        <w:tab/>
      </w:r>
      <w:r>
        <w:rPr>
          <w:i/>
        </w:rPr>
        <w:t>"</w:t>
      </w:r>
      <w:r>
        <w:rPr>
          <w:i/>
          <w:u w:val="single"/>
        </w:rPr>
        <w:t>Swaps</w:t>
      </w:r>
      <w:r>
        <w:rPr>
          <w:i/>
        </w:rPr>
        <w:t>"</w:t>
      </w:r>
      <w:r>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u w:val="single"/>
        </w:rPr>
        <w:t>Swap</w:t>
      </w:r>
      <w:r>
        <w:rPr/>
        <w:t>" shall mean any of the Swaps.</w:t>
      </w:r>
    </w:p>
    <w:p>
      <w:pPr>
        <w:pStyle w:val="Normal"/>
        <w:spacing w:before="240" w:after="0"/>
        <w:ind w:hanging="720" w:start="1440" w:end="0"/>
        <w:jc w:val="both"/>
        <w:rPr/>
      </w:pPr>
      <w:r>
        <w:rPr/>
        <w:t>(k)</w:t>
        <w:tab/>
      </w:r>
      <w:r>
        <w:rPr>
          <w:i/>
        </w:rPr>
        <w:t>"</w:t>
      </w:r>
      <w:r>
        <w:rPr>
          <w:i/>
          <w:iCs/>
          <w:u w:val="single"/>
        </w:rPr>
        <w:t>Transfer</w:t>
      </w:r>
      <w:r>
        <w:rPr>
          <w:i/>
        </w:rPr>
        <w:t>"</w:t>
      </w:r>
      <w:r>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rPr>
      </w:pPr>
      <w:r>
        <w:rPr>
          <w:i/>
        </w:rPr>
      </w:r>
    </w:p>
    <w:p>
      <w:pPr>
        <w:pStyle w:val="Normal"/>
        <w:tabs>
          <w:tab w:val="left" w:pos="720" w:leader="none"/>
        </w:tabs>
        <w:ind w:hanging="1440" w:start="1440" w:end="0"/>
        <w:jc w:val="both"/>
        <w:rPr/>
      </w:pPr>
      <w:r>
        <w:rPr/>
        <w:tab/>
        <w:t>(l)</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pPr>
      <w:r>
        <w:rPr/>
      </w:r>
    </w:p>
    <w:p>
      <w:pPr>
        <w:pStyle w:val="Normal"/>
        <w:jc w:val="both"/>
        <w:rPr/>
      </w:pPr>
      <w:r>
        <w:rPr/>
        <w:tab/>
        <w:t xml:space="preserve">2.  </w:t>
      </w:r>
      <w:r>
        <w:rPr>
          <w:u w:val="single"/>
        </w:rPr>
        <w:t>Performance Assurance</w:t>
      </w:r>
      <w:r>
        <w:rPr/>
        <w:t>.</w:t>
      </w:r>
    </w:p>
    <w:p>
      <w:pPr>
        <w:pStyle w:val="Normal"/>
        <w:jc w:val="both"/>
        <w:rPr/>
      </w:pPr>
      <w:r>
        <w:rPr/>
      </w:r>
    </w:p>
    <w:p>
      <w:pPr>
        <w:pStyle w:val="Normal"/>
        <w:ind w:hanging="720" w:start="1440" w:end="0"/>
        <w:jc w:val="both"/>
        <w:rPr>
          <w:b/>
        </w:rPr>
      </w:pPr>
      <w:r>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rPr>
      </w:pPr>
      <w:r>
        <w:rPr>
          <w:color w:val="000000"/>
        </w:rPr>
      </w:r>
    </w:p>
    <w:p>
      <w:pPr>
        <w:pStyle w:val="Normal"/>
        <w:ind w:start="720" w:end="0"/>
        <w:jc w:val="both"/>
        <w:rPr/>
      </w:pPr>
      <w:r>
        <w:rPr/>
        <w:t xml:space="preserve">3.  </w:t>
      </w:r>
      <w:r>
        <w:rPr>
          <w:u w:val="single"/>
        </w:rPr>
        <w:t>Cash Collateral</w:t>
      </w:r>
      <w:r>
        <w:rPr/>
        <w:t>.  Performance Assurance in the form of United States Dollars (“Cash”) shall be subject to the following provisions:</w:t>
      </w:r>
    </w:p>
    <w:p>
      <w:pPr>
        <w:pStyle w:val="Normal"/>
        <w:jc w:val="both"/>
        <w:rPr/>
      </w:pPr>
      <w:r>
        <w:rPr/>
      </w:r>
    </w:p>
    <w:p>
      <w:pPr>
        <w:pStyle w:val="Normal"/>
        <w:tabs>
          <w:tab w:val="left" w:pos="720" w:leader="none"/>
        </w:tabs>
        <w:ind w:hanging="720" w:start="1440" w:end="0"/>
        <w:jc w:val="both"/>
        <w:rPr/>
      </w:pPr>
      <w:r>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pPr>
      <w:r>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pPr>
      <w:r>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jc w:val="both"/>
        <w:rPr/>
      </w:pPr>
      <w:r>
        <w:rPr/>
      </w:r>
    </w:p>
    <w:p>
      <w:pPr>
        <w:pStyle w:val="Normal"/>
        <w:jc w:val="both"/>
        <w:rPr/>
      </w:pPr>
      <w:r>
        <w:rPr/>
        <w:tab/>
        <w:t xml:space="preserve">4.  </w:t>
      </w:r>
      <w:r>
        <w:rPr>
          <w:u w:val="single"/>
        </w:rPr>
        <w:t>Additional Representation</w:t>
      </w:r>
      <w:r>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tab/>
        <w:tab/>
        <w:t xml:space="preserve">5.  </w:t>
      </w:r>
      <w:r>
        <w:rPr>
          <w:u w:val="single"/>
        </w:rPr>
        <w:t>Exposed Party’s Rights and Remedies</w:t>
      </w:r>
      <w:r>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tab/>
        <w:tab/>
        <w:t xml:space="preserve">6.  </w:t>
      </w:r>
      <w:r>
        <w:rPr>
          <w:u w:val="single"/>
        </w:rPr>
        <w:t>Security Interest</w:t>
      </w:r>
      <w:r>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t xml:space="preserve">7.  </w:t>
      </w:r>
      <w:r>
        <w:rPr>
          <w:u w:val="single"/>
        </w:rPr>
        <w:t>General.</w:t>
      </w:r>
    </w:p>
    <w:p>
      <w:pPr>
        <w:pStyle w:val="Normal"/>
        <w:spacing w:before="240" w:after="0"/>
        <w:ind w:hanging="720" w:start="1440" w:end="0"/>
        <w:jc w:val="both"/>
        <w:rPr/>
      </w:pPr>
      <w:r>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pPr>
      <w:r>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pPr>
      <w:r>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16"/>
          <w:headerReference w:type="first" r:id="rId17"/>
          <w:footerReference w:type="default" r:id="rId18"/>
          <w:footerReference w:type="first" r:id="rId19"/>
          <w:type w:val="nextPage"/>
          <w:pgSz w:w="12240" w:h="15840"/>
          <w:pgMar w:left="1728" w:right="1728" w:gutter="0" w:header="720" w:top="1728" w:footer="720" w:bottom="1728"/>
          <w:pgNumType w:fmt="decimal"/>
          <w:formProt w:val="false"/>
          <w:textDirection w:val="lrTb"/>
          <w:docGrid w:type="default" w:linePitch="360" w:charSpace="0"/>
        </w:sectPr>
        <w:pStyle w:val="Normal"/>
        <w:spacing w:before="240" w:after="0"/>
        <w:ind w:hanging="720" w:start="1440" w:end="0"/>
        <w:jc w:val="both"/>
        <w:rPr/>
      </w:pPr>
      <w:r>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ind w:end="180"/>
        <w:jc w:val="center"/>
        <w:rPr>
          <w:b/>
          <w:bCs/>
          <w:szCs w:val="22"/>
        </w:rPr>
      </w:pPr>
      <w:r>
        <w:rPr>
          <w:b/>
          <w:bCs/>
          <w:szCs w:val="22"/>
          <w:u w:val="single"/>
        </w:rPr>
        <w:t>ANNEX B-2</w:t>
      </w:r>
    </w:p>
    <w:p>
      <w:pPr>
        <w:pStyle w:val="Normal"/>
        <w:ind w:end="180"/>
        <w:jc w:val="center"/>
        <w:rPr>
          <w:b/>
          <w:bCs/>
          <w:szCs w:val="22"/>
        </w:rPr>
      </w:pPr>
      <w:r>
        <w:rPr>
          <w:b/>
          <w:bCs/>
          <w:szCs w:val="22"/>
        </w:rPr>
      </w:r>
    </w:p>
    <w:p>
      <w:pPr>
        <w:pStyle w:val="Normal"/>
        <w:ind w:end="180"/>
        <w:jc w:val="center"/>
        <w:rPr>
          <w:b/>
          <w:bCs/>
          <w:szCs w:val="22"/>
        </w:rPr>
      </w:pPr>
      <w:r>
        <w:rPr>
          <w:b/>
          <w:bCs/>
          <w:szCs w:val="22"/>
        </w:rPr>
        <w:t>ENRON CORP.</w:t>
      </w:r>
    </w:p>
    <w:p>
      <w:pPr>
        <w:pStyle w:val="Normal"/>
        <w:spacing w:lineRule="exact" w:line="240"/>
        <w:ind w:end="180"/>
        <w:jc w:val="center"/>
        <w:rPr>
          <w:b/>
          <w:bCs/>
          <w:szCs w:val="22"/>
          <w:u w:val="single"/>
        </w:rPr>
      </w:pPr>
      <w:r>
        <w:rPr>
          <w:b/>
          <w:bCs/>
          <w:szCs w:val="22"/>
          <w:u w:val="single"/>
        </w:rPr>
      </w:r>
    </w:p>
    <w:p>
      <w:pPr>
        <w:pStyle w:val="Normal"/>
        <w:spacing w:lineRule="exact" w:line="240"/>
        <w:ind w:end="180"/>
        <w:jc w:val="center"/>
        <w:rPr>
          <w:szCs w:val="22"/>
        </w:rPr>
      </w:pPr>
      <w:r>
        <w:rPr>
          <w:szCs w:val="22"/>
          <w:u w:val="single"/>
        </w:rPr>
        <w:t>Guaranty</w:t>
      </w:r>
    </w:p>
    <w:p>
      <w:pPr>
        <w:pStyle w:val="Normal"/>
        <w:spacing w:lineRule="exact" w:line="480"/>
        <w:jc w:val="both"/>
        <w:rPr>
          <w:szCs w:val="22"/>
        </w:rPr>
      </w:pPr>
      <w:r>
        <w:rPr>
          <w:szCs w:val="22"/>
        </w:rPr>
      </w:r>
    </w:p>
    <w:p>
      <w:pPr>
        <w:pStyle w:val="Normal"/>
        <w:spacing w:lineRule="atLeast" w:line="240"/>
        <w:ind w:firstLine="720" w:end="0"/>
        <w:jc w:val="both"/>
        <w:rPr/>
      </w:pPr>
      <w:r>
        <w:rPr>
          <w:szCs w:val="22"/>
        </w:rPr>
        <w:t xml:space="preserve">This Guaranty (this “Guaranty”), dated effective as of </w:t>
      </w:r>
      <w:r>
        <w:rPr>
          <w:szCs w:val="22"/>
          <w:u w:val="single"/>
        </w:rPr>
        <w:tab/>
        <w:tab/>
      </w:r>
      <w:r>
        <w:rPr>
          <w:szCs w:val="22"/>
        </w:rPr>
        <w:t xml:space="preserve">, 2001 (the “Effective Date”), is made and entered into by </w:t>
      </w:r>
      <w:r>
        <w:rPr>
          <w:caps/>
          <w:szCs w:val="22"/>
        </w:rPr>
        <w:t>Enron Corp.</w:t>
      </w:r>
      <w:r>
        <w:rPr>
          <w:szCs w:val="22"/>
        </w:rPr>
        <w:t>, an Oregon corporation (“Guarantor”).</w:t>
      </w:r>
    </w:p>
    <w:p>
      <w:pPr>
        <w:pStyle w:val="Normal"/>
        <w:keepNext w:val="true"/>
        <w:spacing w:lineRule="exact" w:line="240" w:before="480" w:after="0"/>
        <w:jc w:val="center"/>
        <w:rPr>
          <w:b/>
          <w:bCs/>
          <w:caps/>
          <w:szCs w:val="22"/>
        </w:rPr>
      </w:pPr>
      <w:r>
        <w:rPr>
          <w:b/>
          <w:bCs/>
          <w:caps/>
          <w:szCs w:val="22"/>
        </w:rPr>
        <w:t>W I T N E S S E T H:</w:t>
      </w:r>
    </w:p>
    <w:p>
      <w:pPr>
        <w:pStyle w:val="Normal"/>
        <w:spacing w:lineRule="atLeast" w:line="240"/>
        <w:jc w:val="both"/>
        <w:rPr>
          <w:b/>
          <w:bCs/>
          <w:caps/>
          <w:szCs w:val="22"/>
        </w:rPr>
      </w:pPr>
      <w:r>
        <w:rPr>
          <w:b/>
          <w:bCs/>
          <w:caps/>
          <w:szCs w:val="22"/>
        </w:rPr>
      </w:r>
    </w:p>
    <w:p>
      <w:pPr>
        <w:pStyle w:val="Normal"/>
        <w:spacing w:lineRule="atLeast" w:line="240"/>
        <w:ind w:firstLine="720" w:end="0"/>
        <w:jc w:val="both"/>
        <w:rPr/>
      </w:pPr>
      <w:r>
        <w:rPr>
          <w:szCs w:val="22"/>
        </w:rPr>
        <w:t xml:space="preserve">WHEREAS, CATEQUIL PARTNERS, L.P., a </w:t>
      </w:r>
      <w:r>
        <w:rPr>
          <w:szCs w:val="22"/>
          <w:u w:val="single"/>
        </w:rPr>
        <w:tab/>
        <w:tab/>
        <w:tab/>
      </w:r>
      <w:r>
        <w:rPr>
          <w:szCs w:val="22"/>
        </w:rPr>
        <w:t xml:space="preserve"> limited partnership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WHEREAS, Guarantor will directly or indirectly benefit from the transactions to be entered into between Enron and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NOW THEREFORE, in consideration of Counterparty entering into the Contract, Guarantor hereby covenants and agrees as follows: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1.  </w:t>
      </w:r>
      <w:r>
        <w:rPr>
          <w:szCs w:val="22"/>
          <w:u w:val="single"/>
        </w:rPr>
        <w:t>GUARANTY</w:t>
      </w:r>
      <w:r>
        <w:rPr>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before="240" w:after="0"/>
        <w:rPr>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sz w:val="20"/>
        </w:rPr>
      </w:pPr>
      <w:r>
        <w:rPr>
          <w:sz w:val="20"/>
        </w:rPr>
        <w:t>(b)  The aggregate amount covered by this Guaranty shall not exceed U.S. $10,000,000.</w:t>
      </w:r>
    </w:p>
    <w:p>
      <w:pPr>
        <w:pStyle w:val="Normal"/>
        <w:spacing w:lineRule="atLeast" w:line="240"/>
        <w:jc w:val="both"/>
        <w:rPr>
          <w:sz w:val="20"/>
          <w:szCs w:val="22"/>
        </w:rPr>
      </w:pPr>
      <w:r>
        <w:rPr>
          <w:sz w:val="20"/>
          <w:szCs w:val="22"/>
        </w:rPr>
      </w:r>
    </w:p>
    <w:p>
      <w:pPr>
        <w:pStyle w:val="Normal"/>
        <w:spacing w:lineRule="atLeast" w:line="240"/>
        <w:ind w:firstLine="720" w:end="0"/>
        <w:jc w:val="both"/>
        <w:rPr/>
      </w:pPr>
      <w:r>
        <w:rPr>
          <w:szCs w:val="22"/>
        </w:rPr>
        <w:t xml:space="preserve">2.  </w:t>
      </w:r>
      <w:r>
        <w:rPr>
          <w:szCs w:val="22"/>
          <w:u w:val="single"/>
        </w:rPr>
        <w:t>DEMANDS AND NOTICE</w:t>
      </w:r>
      <w:r>
        <w:rPr>
          <w:szCs w:val="22"/>
        </w:rPr>
        <w:t>.  Upon the occurrence and during the continuance of an Event of Default,</w:t>
      </w:r>
      <w:r>
        <w:rPr>
          <w:color w:val="FF0000"/>
          <w:szCs w:val="22"/>
        </w:rPr>
        <w:t xml:space="preserve"> </w:t>
      </w:r>
      <w:r>
        <w:rPr>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Cs w:val="22"/>
        </w:rPr>
      </w:pPr>
      <w:r>
        <w:rPr>
          <w:szCs w:val="22"/>
        </w:rPr>
      </w:r>
    </w:p>
    <w:p>
      <w:pPr>
        <w:pStyle w:val="Normal"/>
        <w:keepNext w:val="true"/>
        <w:spacing w:lineRule="atLeast" w:line="240"/>
        <w:ind w:firstLine="720" w:end="0"/>
        <w:jc w:val="both"/>
        <w:rPr/>
      </w:pPr>
      <w:r>
        <w:rPr>
          <w:szCs w:val="22"/>
        </w:rPr>
        <w:t xml:space="preserve">3.  </w:t>
      </w:r>
      <w:r>
        <w:rPr>
          <w:szCs w:val="22"/>
          <w:u w:val="single"/>
        </w:rPr>
        <w:t>REPRESENTATIONS AND WARRANTIES</w:t>
      </w:r>
      <w:r>
        <w:rPr>
          <w:szCs w:val="22"/>
        </w:rPr>
        <w:t>.  Guarantor represents and warrants that:</w:t>
      </w:r>
    </w:p>
    <w:p>
      <w:pPr>
        <w:pStyle w:val="Normal"/>
        <w:keepNext w:val="true"/>
        <w:spacing w:lineRule="exact" w:line="240" w:before="240" w:after="0"/>
        <w:ind w:firstLine="630" w:start="810" w:end="0"/>
        <w:jc w:val="both"/>
        <w:rPr>
          <w:szCs w:val="22"/>
        </w:rPr>
      </w:pPr>
      <w:r>
        <w:rPr>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Cs w:val="22"/>
        </w:rPr>
      </w:pPr>
      <w:r>
        <w:rPr>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Cs w:val="22"/>
        </w:rPr>
      </w:pPr>
      <w:r>
        <w:rPr>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Cs w:val="22"/>
        </w:rPr>
      </w:pPr>
      <w:r>
        <w:rPr>
          <w:szCs w:val="22"/>
        </w:rPr>
      </w:r>
    </w:p>
    <w:p>
      <w:pPr>
        <w:pStyle w:val="Normal"/>
        <w:spacing w:lineRule="atLeast" w:line="240"/>
        <w:ind w:firstLine="720" w:end="0"/>
        <w:jc w:val="both"/>
        <w:rPr/>
      </w:pPr>
      <w:r>
        <w:rPr>
          <w:szCs w:val="22"/>
        </w:rPr>
        <w:t xml:space="preserve">4.  </w:t>
      </w:r>
      <w:r>
        <w:rPr>
          <w:szCs w:val="22"/>
          <w:u w:val="single"/>
        </w:rPr>
        <w:t>SETOFFS AND COUNTERCLAIMS</w:t>
      </w:r>
      <w:r>
        <w:rPr>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5.  </w:t>
      </w:r>
      <w:r>
        <w:rPr>
          <w:szCs w:val="22"/>
          <w:u w:val="single"/>
        </w:rPr>
        <w:t>AMENDMENT OF GUARANTY</w:t>
      </w:r>
      <w:r>
        <w:rPr>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6.  </w:t>
      </w:r>
      <w:r>
        <w:rPr>
          <w:szCs w:val="22"/>
          <w:u w:val="single"/>
        </w:rPr>
        <w:t>WAIVERS</w:t>
      </w:r>
      <w:r>
        <w:rPr>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7.  </w:t>
      </w:r>
      <w:r>
        <w:rPr>
          <w:szCs w:val="22"/>
          <w:u w:val="single"/>
        </w:rPr>
        <w:t>NOTICE</w:t>
      </w:r>
      <w:r>
        <w:rPr>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Cs w:val="22"/>
        </w:rPr>
      </w:pPr>
      <w:r>
        <w:rPr>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Cs w:val="22"/>
              </w:rPr>
            </w:pPr>
            <w:r>
              <w:rPr>
                <w:color w:val="000000"/>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Catequil Partners, L.P.</w:t>
            </w:r>
          </w:p>
        </w:tc>
        <w:tc>
          <w:tcPr>
            <w:tcW w:w="1530" w:type="dxa"/>
            <w:tcBorders/>
          </w:tcPr>
          <w:p>
            <w:pPr>
              <w:pStyle w:val="Normal"/>
              <w:keepNext w:val="true"/>
              <w:keepLines/>
              <w:spacing w:lineRule="atLeast" w:line="240"/>
              <w:rPr>
                <w:color w:val="000000"/>
                <w:szCs w:val="22"/>
              </w:rPr>
            </w:pPr>
            <w:r>
              <w:rPr>
                <w:color w:val="000000"/>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Enron Corp.</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u w:val="single"/>
              </w:rPr>
              <w:tab/>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1400 Smith Street</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u w:val="single"/>
              </w:rPr>
              <w:tab/>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Houston, Texas 77002</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pPr>
            <w:r>
              <w:rPr>
                <w:color w:val="000000"/>
                <w:szCs w:val="22"/>
              </w:rPr>
              <w:t xml:space="preserve">Attn.:  </w:t>
            </w:r>
            <w:r>
              <w:rPr>
                <w:color w:val="000000"/>
                <w:szCs w:val="22"/>
                <w:u w:val="single"/>
              </w:rPr>
              <w:tab/>
            </w:r>
          </w:p>
          <w:p>
            <w:pPr>
              <w:pStyle w:val="Normal"/>
              <w:keepNext w:val="true"/>
              <w:keepLines/>
              <w:tabs>
                <w:tab w:val="clear" w:pos="720"/>
                <w:tab w:val="left" w:pos="3132" w:leader="none"/>
              </w:tabs>
              <w:spacing w:lineRule="atLeast" w:line="240"/>
              <w:rPr>
                <w:color w:val="000000"/>
                <w:szCs w:val="22"/>
                <w:u w:val="single"/>
              </w:rPr>
            </w:pPr>
            <w:r>
              <w:rPr>
                <w:color w:val="000000"/>
                <w:szCs w:val="22"/>
                <w:u w:val="single"/>
              </w:rPr>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Attn.:  Vice President, Finance and Treasurer</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 xml:space="preserve">Fax No.:  </w:t>
            </w:r>
            <w:r>
              <w:rPr>
                <w:color w:val="000000"/>
                <w:szCs w:val="22"/>
                <w:u w:val="single"/>
              </w:rPr>
              <w:tab/>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Fax No.:  (713) 646-3422</w:t>
            </w:r>
          </w:p>
        </w:tc>
      </w:tr>
    </w:tbl>
    <w:p>
      <w:pPr>
        <w:pStyle w:val="Normal"/>
        <w:tabs>
          <w:tab w:val="clear" w:pos="720"/>
          <w:tab w:val="left" w:pos="2880" w:leader="none"/>
          <w:tab w:val="left" w:pos="6480" w:leader="none"/>
        </w:tabs>
        <w:spacing w:lineRule="exact" w:line="240"/>
        <w:ind w:start="720" w:end="0"/>
        <w:jc w:val="both"/>
        <w:rPr>
          <w:szCs w:val="22"/>
        </w:rPr>
      </w:pPr>
      <w:r>
        <w:rPr>
          <w:szCs w:val="22"/>
        </w:rPr>
      </w:r>
    </w:p>
    <w:p>
      <w:pPr>
        <w:pStyle w:val="Normal"/>
        <w:spacing w:lineRule="atLeast" w:line="240"/>
        <w:jc w:val="both"/>
        <w:rPr>
          <w:szCs w:val="22"/>
        </w:rPr>
      </w:pPr>
      <w:r>
        <w:rPr>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Cs w:val="22"/>
        </w:rPr>
      </w:pPr>
      <w:r>
        <w:rPr>
          <w:szCs w:val="22"/>
        </w:rPr>
      </w:r>
    </w:p>
    <w:p>
      <w:pPr>
        <w:pStyle w:val="Normal"/>
        <w:spacing w:lineRule="atLeast" w:line="240"/>
        <w:ind w:firstLine="720" w:end="0"/>
        <w:jc w:val="both"/>
        <w:rPr>
          <w:szCs w:val="22"/>
        </w:rPr>
      </w:pPr>
      <w:r>
        <w:rPr>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8.  </w:t>
      </w:r>
      <w:r>
        <w:rPr>
          <w:szCs w:val="22"/>
          <w:u w:val="single"/>
        </w:rPr>
        <w:t>MISCELLANEOUS</w:t>
      </w:r>
      <w:r>
        <w:rPr>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IN WITNESS WHEREOF, the Guarantor has executed this Guaranty on </w:t>
        <w:tab/>
      </w:r>
      <w:r>
        <w:rPr>
          <w:szCs w:val="22"/>
          <w:u w:val="single"/>
        </w:rPr>
        <w:tab/>
      </w:r>
      <w:r>
        <w:rPr>
          <w:szCs w:val="22"/>
        </w:rPr>
        <w:t>, 2001, but it is effective as of the Effective Date.</w:t>
      </w:r>
    </w:p>
    <w:p>
      <w:pPr>
        <w:pStyle w:val="Normal"/>
        <w:spacing w:lineRule="atLeast" w:line="240"/>
        <w:ind w:firstLine="720" w:end="0"/>
        <w:jc w:val="both"/>
        <w:rPr>
          <w:szCs w:val="22"/>
        </w:rPr>
      </w:pPr>
      <w:r>
        <w:rPr>
          <w:szCs w:val="22"/>
        </w:rPr>
      </w:r>
    </w:p>
    <w:p>
      <w:pPr>
        <w:pStyle w:val="Normal"/>
        <w:spacing w:lineRule="atLeast" w:line="240"/>
        <w:ind w:start="5040" w:end="0"/>
        <w:jc w:val="both"/>
        <w:rPr>
          <w:b/>
          <w:bCs/>
          <w:szCs w:val="22"/>
        </w:rPr>
      </w:pPr>
      <w:r>
        <w:rPr>
          <w:b/>
          <w:bCs/>
          <w:szCs w:val="22"/>
        </w:rPr>
        <w:t>ENRON CORP.</w:t>
      </w:r>
    </w:p>
    <w:p>
      <w:pPr>
        <w:pStyle w:val="Normal"/>
        <w:spacing w:lineRule="atLeast" w:line="240"/>
        <w:ind w:start="5040" w:end="0"/>
        <w:jc w:val="both"/>
        <w:rPr>
          <w:b/>
          <w:bCs/>
          <w:szCs w:val="22"/>
        </w:rPr>
      </w:pPr>
      <w:r>
        <w:rPr>
          <w:b/>
          <w:bCs/>
          <w:szCs w:val="22"/>
        </w:rPr>
      </w:r>
    </w:p>
    <w:p>
      <w:pPr>
        <w:pStyle w:val="Normal"/>
        <w:spacing w:lineRule="atLeast" w:line="240"/>
        <w:ind w:start="5040" w:end="0"/>
        <w:jc w:val="both"/>
        <w:rPr>
          <w:b/>
          <w:bCs/>
          <w:szCs w:val="22"/>
        </w:rPr>
      </w:pPr>
      <w:r>
        <w:rPr>
          <w:b/>
          <w:bCs/>
          <w:szCs w:val="22"/>
        </w:rPr>
      </w:r>
    </w:p>
    <w:p>
      <w:pPr>
        <w:pStyle w:val="Normal"/>
        <w:spacing w:lineRule="atLeast" w:line="240"/>
        <w:ind w:start="5040" w:end="0"/>
        <w:jc w:val="both"/>
        <w:rPr>
          <w:szCs w:val="22"/>
        </w:rPr>
      </w:pPr>
      <w:r>
        <w:rPr>
          <w:szCs w:val="22"/>
        </w:rPr>
        <w:t xml:space="preserve">By:  </w:t>
      </w:r>
      <w:r>
        <w:rPr>
          <w:szCs w:val="22"/>
          <w:u w:val="single"/>
        </w:rPr>
        <w:tab/>
        <w:tab/>
        <w:tab/>
        <w:tab/>
        <w:tab/>
      </w:r>
    </w:p>
    <w:p>
      <w:pPr>
        <w:pStyle w:val="Normal"/>
        <w:spacing w:lineRule="atLeast" w:line="240"/>
        <w:ind w:start="5040" w:end="0"/>
        <w:jc w:val="both"/>
        <w:rPr>
          <w:szCs w:val="22"/>
        </w:rPr>
      </w:pPr>
      <w:r>
        <w:rPr>
          <w:szCs w:val="22"/>
        </w:rPr>
        <w:t xml:space="preserve">Name:  </w:t>
      </w:r>
      <w:r>
        <w:rPr>
          <w:szCs w:val="22"/>
          <w:u w:val="single"/>
        </w:rPr>
        <w:tab/>
        <w:tab/>
        <w:tab/>
        <w:tab/>
        <w:tab/>
      </w:r>
    </w:p>
    <w:p>
      <w:pPr>
        <w:pStyle w:val="Normal"/>
        <w:spacing w:lineRule="atLeast" w:line="240"/>
        <w:ind w:start="5040" w:end="0"/>
        <w:jc w:val="both"/>
        <w:rPr>
          <w:szCs w:val="22"/>
        </w:rPr>
      </w:pPr>
      <w:r>
        <w:rPr>
          <w:szCs w:val="22"/>
        </w:rPr>
        <w:t xml:space="preserve">Title:  </w:t>
      </w:r>
      <w:r>
        <w:rPr>
          <w:szCs w:val="22"/>
          <w:u w:val="single"/>
        </w:rPr>
        <w:tab/>
        <w:tab/>
        <w:tab/>
        <w:tab/>
        <w:tab/>
      </w:r>
    </w:p>
    <w:p>
      <w:pPr>
        <w:pStyle w:val="Normal"/>
        <w:tabs>
          <w:tab w:val="clear" w:pos="720"/>
          <w:tab w:val="left" w:pos="4320" w:leader="none"/>
          <w:tab w:val="left" w:pos="5040" w:leader="none"/>
          <w:tab w:val="left" w:pos="5760" w:leader="none"/>
        </w:tabs>
        <w:ind w:start="5040" w:end="0"/>
        <w:rPr>
          <w:szCs w:val="22"/>
          <w:lang w:val="en-CA" w:eastAsia="en-CA"/>
        </w:rPr>
      </w:pPr>
      <w:r>
        <w:rPr>
          <w:szCs w:val="22"/>
          <w:lang w:val="en-CA" w:eastAsia="en-CA"/>
        </w:rPr>
      </w:r>
    </w:p>
    <w:sectPr>
      <w:headerReference w:type="default" r:id="rId20"/>
      <w:headerReference w:type="first" r:id="rId21"/>
      <w:footerReference w:type="default" r:id="rId22"/>
      <w:footerReference w:type="first" r:id="rId23"/>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/mnt/main-storage/datasets/enron-docs/doc/Catequil_Partners_Confirm.doc</w:t>
    </w:r>
    <w:r>
      <w:rPr>
        <w:sz w:val="12"/>
      </w:rPr>
      <w:fldChar w:fldCharType="end"/>
    </w:r>
  </w:p>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5</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/mnt/main-storage/datasets/enron-docs/doc/Catequil_Partners_Confirm.doc</w:t>
    </w:r>
    <w:r>
      <w:rPr>
        <w:sz w:val="12"/>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/mnt/main-storage/datasets/enron-docs/doc/Catequil_Partners_Confirm.doc</w:t>
    </w:r>
    <w:r>
      <w:rPr>
        <w:rStyle w:val="PageNumber"/>
        <w:sz w:val="12"/>
      </w:rPr>
      <w:fldChar w:fldCharType="end"/>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/mnt/main-storage/datasets/enron-docs/doc/Catequil_Partners_Confirm.doc</w:t>
    </w:r>
    <w:r>
      <w:rPr>
        <w:sz w:val="12"/>
      </w:rPr>
      <w:fldChar w:fldCharType="end"/>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/mnt/main-storage/datasets/enron-docs/doc/Catequil_Partners_Confirm.doc</w:t>
    </w:r>
    <w:r>
      <w:rPr>
        <w:sz w:val="1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/mnt/main-storage/datasets/enron-docs/doc/Catequil_Partners_Confirm.doc</w:t>
    </w:r>
    <w:r>
      <w:rPr>
        <w:sz w:val="12"/>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/mnt/main-storage/datasets/enron-docs/doc/Catequil_Partners_Confirm.doc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abstractNum>
  <w:abstractNum w:abstractNumId="3">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paragraph" w:styleId="Heading5">
    <w:name w:val="heading 5"/>
    <w:basedOn w:val="Normal"/>
    <w:next w:val="Normal"/>
    <w:qFormat/>
    <w:pPr>
      <w:keepNext w:val="true"/>
      <w:numPr>
        <w:ilvl w:val="4"/>
        <w:numId w:val="1"/>
      </w:numPr>
      <w:jc w:val="end"/>
      <w:outlineLvl w:val="4"/>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Hyperlink">
    <w:name w:val="Hyperlink"/>
    <w:basedOn w:val="DefaultParagraphFont"/>
    <w:rPr>
      <w:color w:val="0000FF"/>
      <w:u w:val="single"/>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yperlink" Target="http://www.enron.com/" TargetMode="Externa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2001-03-15T14:48:00Z</dcterms:created>
  <dc:creator>mheard</dc:creator>
  <dc:description/>
  <dc:language>en-CA</dc:language>
  <cp:lastModifiedBy>cstclai</cp:lastModifiedBy>
  <cp:lastPrinted>2001-03-15T11:22:00Z</cp:lastPrinted>
  <dcterms:modified xsi:type="dcterms:W3CDTF">2001-03-15T14:52:00Z</dcterms:modified>
  <cp:revision>3</cp:revision>
  <dc:subject/>
  <dc:title>“DEEMED ISDA” CONFIRMATION</dc:title>
</cp:coreProperties>
</file>