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March __, 2001</w:t>
      </w:r>
    </w:p>
    <w:p>
      <w:pPr>
        <w:pStyle w:val="Normal"/>
        <w:rPr/>
      </w:pPr>
      <w:r>
        <w:rPr/>
      </w:r>
    </w:p>
    <w:p>
      <w:pPr>
        <w:pStyle w:val="Index1"/>
        <w:rPr>
          <w:rFonts w:ascii="Times New Roman" w:hAnsi="Times New Roman" w:cs="Times New Roman"/>
        </w:rPr>
      </w:pPr>
      <w:r>
        <w:rPr>
          <w:rFonts w:cs="Times New Roman" w:ascii="Times New Roman" w:hAnsi="Times New Roman"/>
        </w:rPr>
        <w:t>Catequil Partners, L.P.</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Catequil Partners, L.P.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CATEQUIL PARTNERS, L.P.</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u w:val="single"/>
        </w:rPr>
        <w:t xml:space="preserve">                                              </w:t>
      </w:r>
      <w:r>
        <w:rPr/>
        <w:t>.</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Catequil Partners,  L.P.</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representations:</w:t>
      </w:r>
    </w:p>
    <w:p>
      <w:pPr>
        <w:pStyle w:val="Normal"/>
        <w:spacing w:lineRule="exact" w:line="240" w:before="240" w:after="0"/>
        <w:ind w:hanging="180" w:start="900" w:end="0"/>
        <w:jc w:val="both"/>
        <w:rPr/>
      </w:pPr>
      <w:r>
        <w:rPr/>
        <w:t>(i)</w:t>
        <w:tab/>
        <w:t>The following representation applies to Party A:</w:t>
      </w:r>
    </w:p>
    <w:p>
      <w:pPr>
        <w:pStyle w:val="Normal"/>
        <w:spacing w:lineRule="exact" w:line="240" w:before="240" w:after="0"/>
        <w:ind w:firstLine="540" w:start="900" w:end="0"/>
        <w:jc w:val="both"/>
        <w:rPr/>
      </w:pPr>
      <w:r>
        <w:rPr/>
        <w:t>Party A is a corporation organized under the law of the State of Delaware.</w:t>
      </w:r>
    </w:p>
    <w:p>
      <w:pPr>
        <w:pStyle w:val="Normal"/>
        <w:spacing w:lineRule="exact" w:line="240" w:before="240" w:after="0"/>
        <w:ind w:hanging="180" w:start="900" w:end="0"/>
        <w:jc w:val="both"/>
        <w:rPr/>
      </w:pPr>
      <w:r>
        <w:rPr/>
        <w:t>(ii)</w:t>
        <w:tab/>
        <w:t>The following representation applies to Party B:</w:t>
      </w:r>
    </w:p>
    <w:p>
      <w:pPr>
        <w:pStyle w:val="Normal"/>
        <w:spacing w:lineRule="exact" w:line="240" w:before="240" w:after="0"/>
        <w:ind w:firstLine="540" w:start="900" w:end="0"/>
        <w:jc w:val="both"/>
        <w:rPr/>
      </w:pPr>
      <w:r>
        <w:rPr/>
        <w:t xml:space="preserve">Party B is a limited partnership organized under the law of the State of </w:t>
      </w:r>
      <w:r>
        <w:rPr>
          <w:u w:val="single"/>
        </w:rPr>
        <w:tab/>
        <w:tab/>
        <w:tab/>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10 to 1; or</w:t>
      </w:r>
    </w:p>
    <w:p>
      <w:pPr>
        <w:pStyle w:val="Normal"/>
        <w:spacing w:before="120" w:after="0"/>
        <w:ind w:firstLine="1530" w:start="-810" w:end="0"/>
        <w:jc w:val="both"/>
        <w:rPr>
          <w:szCs w:val="22"/>
        </w:rPr>
      </w:pPr>
      <w:r>
        <w:rPr>
          <w:szCs w:val="22"/>
        </w:rPr>
        <w:t>(xii)</w:t>
        <w:tab/>
        <w:t>if Counterparty’s Net Asset Value falls below U.S. $50,000,000; or</w:t>
      </w:r>
    </w:p>
    <w:p>
      <w:pPr>
        <w:pStyle w:val="Normal"/>
        <w:spacing w:before="120" w:after="0"/>
        <w:ind w:hanging="720" w:start="1440" w:end="0"/>
        <w:jc w:val="both"/>
        <w:rPr>
          <w:szCs w:val="22"/>
        </w:rPr>
      </w:pPr>
      <w:r>
        <w:rPr>
          <w:szCs w:val="22"/>
        </w:rPr>
        <w:t>(xiii)</w:t>
        <w:tab/>
        <w:t>if Counterparty’s Manager resigns, is terminated or is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$2,000,000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 xml:space="preserve">means </w:t>
      </w:r>
      <w:r>
        <w:rPr/>
        <w:t>means, as of the relevant date of determination, an amount (expressed in U.S. Dollars) equal to the sum of Counterparty’s total assets minus Counterparty’s total liabilities</w:t>
      </w:r>
      <w:r>
        <w:rPr>
          <w:szCs w:val="22"/>
        </w:rPr>
        <w:t>.</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1">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ind w:hanging="720" w:start="1440" w:end="0"/>
        <w:jc w:val="both"/>
        <w:rPr/>
      </w:pPr>
      <w:r>
        <w:rPr/>
        <w:t>(i)</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(j)</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(k)</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6"/>
          <w:headerReference w:type="first" r:id="rId17"/>
          <w:footerReference w:type="default" r:id="rId18"/>
          <w:footerReference w:type="first" r:id="rId19"/>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w:t>
      </w:r>
      <w:r>
        <w:rPr>
          <w:szCs w:val="22"/>
          <w:u w:val="single"/>
        </w:rPr>
        <w:tab/>
        <w:tab/>
      </w:r>
      <w:r>
        <w:rPr>
          <w:szCs w:val="22"/>
        </w:rPr>
        <w:t xml:space="preserve">,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CATEQUIL PARTNERS, L.P., a </w:t>
      </w:r>
      <w:r>
        <w:rPr>
          <w:szCs w:val="22"/>
          <w:u w:val="single"/>
        </w:rPr>
        <w:tab/>
        <w:tab/>
        <w:tab/>
      </w:r>
      <w:r>
        <w:rPr>
          <w:szCs w:val="22"/>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Catequil Partners, L.P.</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/mnt/main-storage/datasets/enron-docs/doc/Catequil_Partners_Confirm-6a7f2f2568ffb6d735c94a4f00cf1c83b2993ca7abc9f3ed45fe524e221fb654.doc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/mnt/main-storage/datasets/enron-docs/doc/Catequil_Partners_Confirm-6a7f2f2568ffb6d735c94a4f00cf1c83b2993ca7abc9f3ed45fe524e221fb654.doc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enron.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2001-03-15T20:07:00Z</dcterms:created>
  <dc:creator>mheard</dc:creator>
  <dc:description/>
  <dc:language>en-CA</dc:language>
  <cp:lastModifiedBy>cstclai</cp:lastModifiedBy>
  <cp:lastPrinted>2001-03-15T11:22:00Z</cp:lastPrinted>
  <dcterms:modified xsi:type="dcterms:W3CDTF">2001-03-15T20:07:00Z</dcterms:modified>
  <cp:revision>2</cp:revision>
  <dc:subject/>
  <dc:title>“DEEMED ISDA” CONFIRMATION</dc:title>
</cp:coreProperties>
</file>