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March __, 2001</w:t>
      </w:r>
    </w:p>
    <w:p>
      <w:pPr>
        <w:pStyle w:val="Normal"/>
        <w:rPr/>
      </w:pPr>
      <w:r>
        <w:rPr/>
      </w:r>
    </w:p>
    <w:p>
      <w:pPr>
        <w:pStyle w:val="Index1"/>
        <w:rPr>
          <w:rFonts w:ascii="Times New Roman" w:hAnsi="Times New Roman" w:cs="Times New Roman"/>
        </w:rPr>
      </w:pPr>
      <w:r>
        <w:rPr>
          <w:rFonts w:cs="Times New Roman" w:ascii="Times New Roman" w:hAnsi="Times New Roman"/>
        </w:rPr>
        <w:t>Catequil Overseas Partners Ltd.</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Catequil Overseas Partners Ltd. (“Counterparty”) and Enron North America Corp. (“ENA”)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 between ___________ of ENA and ____________ of Counterparty.</w:t>
      </w:r>
    </w:p>
    <w:p>
      <w:pPr>
        <w:pStyle w:val="Normal"/>
        <w:jc w:val="both"/>
        <w:rPr/>
      </w:pPr>
      <w:r>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w:t>
      </w:r>
      <w:r>
        <w:rPr>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r>
        <w:rPr/>
        <w:t xml:space="preserve">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bCs/>
          <w:u w:val="single"/>
        </w:rPr>
        <w:t>Termination Currency.</w:t>
      </w:r>
      <w:r>
        <w:rPr/>
        <w:t xml:space="preserve">  The Termination Currency shall be U.S. Dollars.</w:t>
      </w:r>
    </w:p>
    <w:p>
      <w:pPr>
        <w:pStyle w:val="Normal"/>
        <w:jc w:val="both"/>
        <w:rPr/>
      </w:pPr>
      <w:r>
        <w:rPr/>
      </w:r>
    </w:p>
    <w:p>
      <w:pPr>
        <w:pStyle w:val="Normal"/>
        <w:jc w:val="both"/>
        <w:rPr/>
      </w:pPr>
      <w:r>
        <w:rPr/>
        <w:t>13.</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rPr>
      </w:pPr>
      <w:r>
        <w:rPr>
          <w:color w:val="FF0000"/>
        </w:rPr>
      </w:r>
    </w:p>
    <w:p>
      <w:pPr>
        <w:pStyle w:val="Normal"/>
        <w:numPr>
          <w:ilvl w:val="0"/>
          <w:numId w:val="3"/>
        </w:numPr>
        <w:jc w:val="both"/>
        <w:rPr>
          <w:szCs w:val="22"/>
        </w:rPr>
      </w:pPr>
      <w:r>
        <w:rPr>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Cs w:val="22"/>
        </w:rPr>
      </w:pPr>
      <w:r>
        <w:rPr>
          <w:szCs w:val="22"/>
        </w:rPr>
      </w:r>
    </w:p>
    <w:p>
      <w:pPr>
        <w:pStyle w:val="Normal"/>
        <w:ind w:hanging="720" w:start="1440" w:end="0"/>
        <w:jc w:val="both"/>
        <w:rPr>
          <w:szCs w:val="22"/>
        </w:rPr>
      </w:pPr>
      <w:r>
        <w:rPr>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Cs w:val="22"/>
        </w:rPr>
      </w:pPr>
      <w:r>
        <w:rPr>
          <w:szCs w:val="22"/>
        </w:rPr>
      </w:r>
    </w:p>
    <w:p>
      <w:pPr>
        <w:pStyle w:val="Normal"/>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rPr>
      </w:pPr>
      <w:r>
        <w:rPr>
          <w:color w:val="FF0000"/>
        </w:rPr>
      </w:r>
    </w:p>
    <w:p>
      <w:pPr>
        <w:pStyle w:val="Normal"/>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CATEQUIL OVERSEAS PARTNERS LTD.</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u w:val="single"/>
        </w:rPr>
        <w:t xml:space="preserve">                                              </w:t>
      </w:r>
      <w:r>
        <w:rPr/>
        <w:t>.</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Party B:  Catequil Overseas Partners Ltd.</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representations:</w:t>
      </w:r>
    </w:p>
    <w:p>
      <w:pPr>
        <w:pStyle w:val="Normal"/>
        <w:spacing w:lineRule="exact" w:line="240" w:before="240" w:after="0"/>
        <w:ind w:hanging="180" w:start="900" w:end="0"/>
        <w:jc w:val="both"/>
        <w:rPr/>
      </w:pPr>
      <w:r>
        <w:rPr/>
        <w:t>(i)</w:t>
        <w:tab/>
        <w:t>The following representation applies to Party A:</w:t>
      </w:r>
    </w:p>
    <w:p>
      <w:pPr>
        <w:pStyle w:val="Normal"/>
        <w:spacing w:lineRule="exact" w:line="240" w:before="240" w:after="0"/>
        <w:ind w:firstLine="540" w:start="900" w:end="0"/>
        <w:jc w:val="both"/>
        <w:rPr/>
      </w:pPr>
      <w:r>
        <w:rPr/>
        <w:t>Party A is a corporation organized under the law of the State of Delaware.</w:t>
      </w:r>
    </w:p>
    <w:p>
      <w:pPr>
        <w:pStyle w:val="Normal"/>
        <w:spacing w:lineRule="exact" w:line="240" w:before="240" w:after="0"/>
        <w:ind w:hanging="180" w:start="900" w:end="0"/>
        <w:jc w:val="both"/>
        <w:rPr/>
      </w:pPr>
      <w:r>
        <w:rPr/>
        <w:t>(ii)</w:t>
        <w:tab/>
        <w:t>The following representation applies to Party B:</w:t>
      </w:r>
    </w:p>
    <w:p>
      <w:pPr>
        <w:pStyle w:val="Normal"/>
        <w:spacing w:lineRule="exact" w:line="240" w:before="240" w:after="0"/>
        <w:ind w:firstLine="540" w:start="900" w:end="0"/>
        <w:jc w:val="both"/>
        <w:rPr/>
      </w:pPr>
      <w:r>
        <w:rPr/>
        <w:t xml:space="preserve">Party B is a limited partnership organized under the law of the State of </w:t>
      </w:r>
      <w:r>
        <w:rPr>
          <w:u w:val="single"/>
        </w:rPr>
        <w:tab/>
        <w:tab/>
        <w:tab/>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jc w:val="both"/>
        <w:rPr>
          <w:b/>
          <w:u w:val="single"/>
        </w:rPr>
      </w:pPr>
      <w:r>
        <w:rPr>
          <w:b/>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pPr>
      <w:r>
        <w:rPr/>
      </w:r>
    </w:p>
    <w:p>
      <w:pPr>
        <w:pStyle w:val="Normal"/>
        <w:ind w:firstLine="720" w:end="0"/>
        <w:jc w:val="both"/>
        <w:rPr/>
      </w:pPr>
      <w:r>
        <w:rPr/>
        <w:t>(x)</w:t>
        <w:tab/>
      </w:r>
      <w:r>
        <w:rPr>
          <w:szCs w:val="22"/>
        </w:rPr>
        <w:t>if in any twelve (12) month period the Net Asset Value of Counterparty declines by more than 50 %; or</w:t>
      </w:r>
    </w:p>
    <w:p>
      <w:pPr>
        <w:pStyle w:val="Normal"/>
        <w:numPr>
          <w:ilvl w:val="0"/>
          <w:numId w:val="2"/>
        </w:numPr>
        <w:spacing w:before="120" w:after="0"/>
        <w:jc w:val="both"/>
        <w:rPr>
          <w:szCs w:val="22"/>
        </w:rPr>
      </w:pPr>
      <w:r>
        <w:rPr>
          <w:szCs w:val="22"/>
        </w:rPr>
        <w:t>if the ratio of Counterparty’s Liabilities to Net Asset Value is more than 10 to 1; or</w:t>
      </w:r>
    </w:p>
    <w:p>
      <w:pPr>
        <w:pStyle w:val="Normal"/>
        <w:spacing w:before="120" w:after="0"/>
        <w:ind w:firstLine="1530" w:start="-810" w:end="0"/>
        <w:jc w:val="both"/>
        <w:rPr>
          <w:szCs w:val="22"/>
        </w:rPr>
      </w:pPr>
      <w:r>
        <w:rPr>
          <w:szCs w:val="22"/>
        </w:rPr>
        <w:t>(xii)</w:t>
        <w:tab/>
        <w:t>if Counterparty’s Net Asset Value falls below U.S. $50,000,000; or</w:t>
      </w:r>
    </w:p>
    <w:p>
      <w:pPr>
        <w:pStyle w:val="Normal"/>
        <w:spacing w:before="120" w:after="0"/>
        <w:ind w:hanging="720" w:start="1440" w:end="0"/>
        <w:jc w:val="both"/>
        <w:rPr>
          <w:szCs w:val="22"/>
        </w:rPr>
      </w:pPr>
      <w:r>
        <w:rPr>
          <w:szCs w:val="22"/>
        </w:rPr>
        <w:t>(xiii)</w:t>
        <w:tab/>
        <w:t>if Counterparty’s Manager resigns, is terminated or is otherwise incapacitated for a period exceeding one month; or</w:t>
      </w:r>
    </w:p>
    <w:p>
      <w:pPr>
        <w:pStyle w:val="Normal"/>
        <w:spacing w:before="120" w:after="0"/>
        <w:ind w:hanging="720" w:start="1440" w:end="0"/>
        <w:jc w:val="both"/>
        <w:rPr>
          <w:szCs w:val="22"/>
        </w:rPr>
      </w:pPr>
      <w:r>
        <w:rPr>
          <w:szCs w:val="22"/>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Cs w:val="22"/>
        </w:rPr>
      </w:pPr>
      <w:r>
        <w:rPr>
          <w:szCs w:val="22"/>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 xml:space="preserve">and with respect to Party B, U.S. $2,000,000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spacing w:lineRule="atLeast" w:line="24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u w:val="single"/>
        </w:rPr>
      </w:pPr>
      <w:r>
        <w:rPr>
          <w:i/>
        </w:rPr>
        <w:t>"</w:t>
      </w:r>
      <w:r>
        <w:rPr>
          <w:i/>
          <w:u w:val="single"/>
        </w:rPr>
        <w:t>Credit Support Provider</w:t>
      </w:r>
      <w:r>
        <w:rPr>
          <w:i/>
        </w:rPr>
        <w:t>"</w:t>
      </w:r>
      <w:r>
        <w:rPr/>
        <w:t xml:space="preserve"> means, with respect to ENA only, Enron Corp.</w:t>
      </w:r>
    </w:p>
    <w:p>
      <w:pPr>
        <w:pStyle w:val="BodyTextIndent"/>
        <w:spacing w:lineRule="atLeast" w:line="240"/>
        <w:ind w:hanging="0" w:start="360" w:end="0"/>
        <w:rPr/>
      </w:pPr>
      <w:r>
        <w:rPr>
          <w:i/>
          <w:iCs/>
          <w:color w:val="000000"/>
        </w:rPr>
        <w:t>“</w:t>
      </w:r>
      <w:r>
        <w:rPr>
          <w:i/>
          <w:iCs/>
          <w:color w:val="000000"/>
          <w:u w:val="single"/>
        </w:rPr>
        <w:t>Investment Policy</w:t>
      </w:r>
      <w:r>
        <w:rPr>
          <w:i/>
          <w:iCs/>
          <w:color w:val="000000"/>
        </w:rPr>
        <w:t>”</w:t>
      </w:r>
      <w:r>
        <w:rPr>
          <w:b/>
          <w:bCs/>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iCs/>
          <w:szCs w:val="22"/>
        </w:rPr>
        <w:t>“</w:t>
      </w:r>
      <w:r>
        <w:rPr>
          <w:i/>
          <w:iCs/>
          <w:szCs w:val="22"/>
          <w:u w:val="single"/>
        </w:rPr>
        <w:t>Liabilities</w:t>
      </w:r>
      <w:r>
        <w:rPr>
          <w:i/>
          <w:iCs/>
          <w:szCs w:val="22"/>
        </w:rPr>
        <w:t>”</w:t>
      </w:r>
      <w:r>
        <w:rPr>
          <w:b/>
          <w:bCs/>
          <w:szCs w:val="22"/>
        </w:rPr>
        <w:t xml:space="preserve"> </w:t>
      </w:r>
      <w:r>
        <w:rPr>
          <w:szCs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iCs/>
          <w:szCs w:val="22"/>
        </w:rPr>
        <w:t>“</w:t>
      </w:r>
      <w:r>
        <w:rPr>
          <w:i/>
          <w:iCs/>
          <w:szCs w:val="22"/>
          <w:u w:val="single"/>
        </w:rPr>
        <w:t>Management Agreement</w:t>
      </w:r>
      <w:r>
        <w:rPr>
          <w:i/>
          <w:iCs/>
          <w:szCs w:val="22"/>
        </w:rPr>
        <w:t>”</w:t>
      </w:r>
      <w:r>
        <w:rPr>
          <w:b/>
          <w:bCs/>
          <w:szCs w:val="22"/>
        </w:rPr>
        <w:t xml:space="preserve"> </w:t>
      </w:r>
      <w:r>
        <w:rPr>
          <w:szCs w:val="22"/>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iCs/>
          <w:color w:val="000000"/>
        </w:rPr>
        <w:t>“</w:t>
      </w:r>
      <w:r>
        <w:rPr>
          <w:i/>
          <w:iCs/>
          <w:color w:val="000000"/>
          <w:u w:val="single"/>
        </w:rPr>
        <w:t>Manager</w:t>
      </w:r>
      <w:r>
        <w:rPr>
          <w:i/>
          <w:iCs/>
          <w:color w:val="000000"/>
        </w:rPr>
        <w:t>”</w:t>
      </w:r>
      <w:r>
        <w:rPr>
          <w:b/>
          <w:bCs/>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rPr>
      </w:pPr>
      <w:r>
        <w:rPr>
          <w:color w:val="000000"/>
        </w:rPr>
      </w:r>
    </w:p>
    <w:p>
      <w:pPr>
        <w:pStyle w:val="Normal"/>
        <w:ind w:start="360" w:end="0"/>
        <w:jc w:val="both"/>
        <w:rPr/>
      </w:pPr>
      <w:r>
        <w:rPr>
          <w:i/>
          <w:iCs/>
          <w:szCs w:val="22"/>
        </w:rPr>
        <w:t xml:space="preserve"> “</w:t>
      </w:r>
      <w:r>
        <w:rPr>
          <w:i/>
          <w:iCs/>
          <w:szCs w:val="22"/>
          <w:u w:val="single"/>
        </w:rPr>
        <w:t>Net Asset Value</w:t>
      </w:r>
      <w:r>
        <w:rPr>
          <w:i/>
          <w:iCs/>
          <w:szCs w:val="22"/>
        </w:rPr>
        <w:t>”</w:t>
      </w:r>
      <w:r>
        <w:rPr>
          <w:b/>
          <w:bCs/>
          <w:szCs w:val="22"/>
        </w:rPr>
        <w:t xml:space="preserve"> </w:t>
      </w:r>
      <w:r>
        <w:rPr>
          <w:szCs w:val="22"/>
        </w:rPr>
        <w:t>means ____________________________.</w:t>
      </w:r>
    </w:p>
    <w:p>
      <w:pPr>
        <w:pStyle w:val="Normal"/>
        <w:ind w:start="360" w:end="0"/>
        <w:jc w:val="both"/>
        <w:rPr>
          <w:i/>
          <w:i/>
          <w:szCs w:val="22"/>
        </w:rPr>
      </w:pPr>
      <w:r>
        <w:rPr>
          <w:i/>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jc w:val="both"/>
        <w:rPr/>
      </w:pPr>
      <w:r>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1">
        <w:r>
          <w:rPr>
            <w:rStyle w:val="Hyperlink"/>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pPr>
      <w:r>
        <w:rPr/>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t>
      </w:r>
      <w:r>
        <w:rPr>
          <w:szCs w:val="24"/>
        </w:rPr>
        <w:t>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ind w:hanging="720" w:start="1440" w:end="0"/>
        <w:jc w:val="both"/>
        <w:rPr/>
      </w:pPr>
      <w:r>
        <w:rPr/>
        <w:t>(i)</w:t>
        <w:tab/>
        <w:t>"</w:t>
      </w:r>
      <w:r>
        <w:rPr>
          <w:i/>
          <w:u w:val="single"/>
        </w:rPr>
        <w:t>Performance Assurance</w:t>
      </w:r>
      <w:r>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(j)</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(k)</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rPr>
      </w:pPr>
      <w:r>
        <w:rPr>
          <w:i/>
        </w:rPr>
      </w:r>
    </w:p>
    <w:p>
      <w:pPr>
        <w:pStyle w:val="Normal"/>
        <w:tabs>
          <w:tab w:val="left" w:pos="720" w:leader="none"/>
        </w:tabs>
        <w:ind w:hanging="1440" w:start="1440" w:end="0"/>
        <w:jc w:val="both"/>
        <w:rPr/>
      </w:pPr>
      <w:r>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pPr>
      <w:r>
        <w:rPr/>
      </w:r>
    </w:p>
    <w:p>
      <w:pPr>
        <w:pStyle w:val="Normal"/>
        <w:jc w:val="both"/>
        <w:rPr/>
      </w:pPr>
      <w:r>
        <w:rPr/>
        <w:tab/>
        <w:t xml:space="preserve">4.  </w:t>
      </w:r>
      <w:r>
        <w:rPr>
          <w:u w:val="single"/>
        </w:rPr>
        <w:t>Additional Representation</w:t>
      </w:r>
      <w:r>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tab/>
        <w:tab/>
        <w:t xml:space="preserve">5.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6.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t xml:space="preserve">7.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16"/>
          <w:headerReference w:type="first" r:id="rId17"/>
          <w:footerReference w:type="default" r:id="rId18"/>
          <w:footerReference w:type="first" r:id="rId19"/>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w:t>
      </w:r>
      <w:r>
        <w:rPr>
          <w:szCs w:val="22"/>
          <w:u w:val="single"/>
        </w:rPr>
        <w:tab/>
        <w:tab/>
      </w:r>
      <w:r>
        <w:rPr>
          <w:szCs w:val="22"/>
        </w:rPr>
        <w:t xml:space="preserve">, 2001 (the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pPr>
      <w:r>
        <w:rPr>
          <w:szCs w:val="22"/>
        </w:rPr>
        <w:t xml:space="preserve">WHEREAS, CATEQUIL OVERSEAS PARTNERS LTD, a </w:t>
      </w:r>
      <w:r>
        <w:rPr>
          <w:szCs w:val="22"/>
          <w:u w:val="single"/>
        </w:rPr>
        <w:tab/>
        <w:tab/>
        <w:tab/>
      </w:r>
      <w:r>
        <w:rPr>
          <w:szCs w:val="22"/>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Catequil Overseas Partners Ltd.</w:t>
            </w:r>
          </w:p>
        </w:tc>
        <w:tc>
          <w:tcPr>
            <w:tcW w:w="1530" w:type="dxa"/>
            <w:tcBorders/>
          </w:tcPr>
          <w:p>
            <w:pPr>
              <w:pStyle w:val="Normal"/>
              <w:keepNext w:val="true"/>
              <w:keepLines/>
              <w:spacing w:lineRule="atLeast" w:line="240"/>
              <w:rPr>
                <w:color w:val="000000"/>
                <w:szCs w:val="22"/>
              </w:rPr>
            </w:pPr>
            <w:r>
              <w:rPr>
                <w:color w:val="000000"/>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pPr>
            <w:r>
              <w:rPr>
                <w:color w:val="000000"/>
                <w:szCs w:val="22"/>
              </w:rPr>
              <w:t xml:space="preserve">Attn.:  </w:t>
            </w:r>
            <w:r>
              <w:rPr>
                <w:color w:val="000000"/>
                <w:szCs w:val="22"/>
                <w:u w:val="single"/>
              </w:rPr>
              <w:tab/>
            </w:r>
          </w:p>
          <w:p>
            <w:pPr>
              <w:pStyle w:val="Normal"/>
              <w:keepNext w:val="true"/>
              <w:keepLines/>
              <w:tabs>
                <w:tab w:val="clear" w:pos="720"/>
                <w:tab w:val="left" w:pos="3132" w:leader="none"/>
              </w:tabs>
              <w:spacing w:lineRule="atLeast" w:line="240"/>
              <w:rPr>
                <w:color w:val="000000"/>
                <w:szCs w:val="22"/>
                <w:u w:val="single"/>
              </w:rPr>
            </w:pPr>
            <w:r>
              <w:rPr>
                <w:color w:val="000000"/>
                <w:szCs w:val="22"/>
                <w:u w:val="single"/>
              </w:rPr>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 xml:space="preserve">Fax No.:  </w:t>
            </w: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r>
    </w:p>
    <w:p>
      <w:pPr>
        <w:pStyle w:val="Normal"/>
        <w:tabs>
          <w:tab w:val="clear" w:pos="720"/>
          <w:tab w:val="left" w:pos="4320" w:leader="none"/>
          <w:tab w:val="left" w:pos="5040" w:leader="none"/>
          <w:tab w:val="left" w:pos="5760" w:leader="none"/>
        </w:tabs>
        <w:ind w:start="5040" w:end="0"/>
        <w:rPr>
          <w:szCs w:val="22"/>
          <w:lang w:val="en-CA" w:eastAsia="en-CA"/>
        </w:rPr>
      </w:pPr>
      <w:r>
        <w:rPr>
          <w:szCs w:val="22"/>
          <w:lang w:val="en-CA" w:eastAsia="en-CA"/>
        </w:rPr>
      </w:r>
    </w:p>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/mnt/main-storage/datasets/enron-docs/doc/Catequil_Overseas_Confirm.doc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/mnt/main-storage/datasets/enron-docs/doc/Catequil_Overseas_Confirm.doc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Hyperlink">
    <w:name w:val="Hyperlink"/>
    <w:basedOn w:val="DefaultParagraphFont"/>
    <w:rPr>
      <w:color w:val="0000FF"/>
      <w:u w:val="single"/>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enron.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2001-03-15T13:28:00Z</dcterms:created>
  <dc:creator>mheard</dc:creator>
  <dc:description/>
  <dc:language>en-CA</dc:language>
  <cp:lastModifiedBy>cstclai</cp:lastModifiedBy>
  <cp:lastPrinted>2001-03-15T11:08:00Z</cp:lastPrinted>
  <dcterms:modified xsi:type="dcterms:W3CDTF">2001-03-15T14:38:00Z</dcterms:modified>
  <cp:revision>4</cp:revision>
  <dc:subject/>
  <dc:title>“DEEMED ISDA” CONFIRMATION</dc:title>
</cp:coreProperties>
</file>