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Lisa Mellencamp</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H. Barton Clark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Raptor Exhibit A</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sz w:val="22"/>
        </w:rPr>
      </w:pPr>
      <w:r>
        <w:rPr>
          <w:sz w:val="22"/>
        </w:rPr>
      </w:r>
    </w:p>
    <w:p>
      <w:pPr>
        <w:pStyle w:val="Normal"/>
        <w:tabs>
          <w:tab w:val="clear" w:pos="540"/>
        </w:tabs>
        <w:autoSpaceDE w:val="false"/>
        <w:spacing w:lineRule="atLeast" w:line="240"/>
        <w:jc w:val="center"/>
        <w:rPr>
          <w:rFonts w:ascii="Helv" w:hAnsi="Helv" w:cs="Helv"/>
          <w:color w:val="000000"/>
          <w:sz w:val="20"/>
        </w:rPr>
      </w:pPr>
      <w:r>
        <w:rPr>
          <w:rFonts w:cs="Helv" w:ascii="Helv" w:hAnsi="Helv"/>
          <w:color w:val="000000"/>
          <w:sz w:val="20"/>
        </w:rPr>
        <w:t>EXHIBIT A</w:t>
      </w:r>
    </w:p>
    <w:p>
      <w:pPr>
        <w:pStyle w:val="Normal"/>
        <w:keepLines/>
        <w:tabs>
          <w:tab w:val="clear" w:pos="540"/>
        </w:tabs>
        <w:autoSpaceDE w:val="false"/>
        <w:spacing w:lineRule="atLeast" w:line="240"/>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 xml:space="preserve">The asset is Series B Preferred Stock of Catalytica Combustion Systems, Inc., and an option to acquire same. Currently, pursuant to a Series B Stock Purchase Agreement among Catalytica Combustion Systems, Inc. ( CCSI), Catalytica, Inc. (CCSI's parent and currently holder of Series A and common stock of CCSI representing approximately 83% of the ownership of CCSI ) and Enron Ventures Corp. ( predecessor in interest to Sundance Assets, L.P.), Sundance owns 1,339,286 shares of Series B Preferred Stock and an option to purchase 535,715 shares of Series B Preferred Stock.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There are provisions calling for the adjustment of the number of option shares subject to the option but I am not aware that any transactions that would cause such adjustment provisions, other that the stock split referred to below, to apply. The Series B stock is convertible to CCSI common stock, is restricted stock, and the Stock Purchase Agreement provides for registration rights. Currently, Tom White and Jack Urquhart both serve on the CCSI Boards of Directors, and Jack serves on the Catalytica Inc. Board.</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 xml:space="preserve">Under an Omnibus Agreement entered into in September 2000, in connection with the restructuring of Enron's transactions with CCSI and in connection with the proposed acquisition of Catalytica, Inc, by a third party ( DSM, a Dutch pharmaceutical company)  and the distribution of Catalytica's CCSI shares to Catalytica's stockholders immediately prior to that acquisition, we agreed to convert the Series B to CCSI common, agreed to vote for a 2 for 1 stock split, and negotiated a cashless exercise of the option after the effective date of the spin off. The effectiveness of these provisions is dependent upon the effectiveness of distribution and acquisition The option itself ( as amended by the Omnibus Agreement and otherwise ) expires January 14, 2001. The distribution is expected to occur in the fourth quarter of 2000, but is subject to a variety of conditions. After the distribution and concurrent closing of the Catalyica acquisition transaction, CCSI ( which formerly looked to its parent for financing and much of its administrative and other support) will be a stand- alone public company listed on NASDAQ, with the uncertainties attendant thereto.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 xml:space="preserve">The Omnibus Agreement also contains provisions amending Sundance's registration rights, the board representation provisions in the original Stock Purchase Agreement, and certain transfer restrictions ( to liberalize them and allow the Raptor transaction to take place). There are also agreements related to Enron North America's Xonon Technology Implementation Agreement with GE and West LB, which do not directly affect the Series B Preferred. These provisions instead go to the development program for CCSI's technology, to which ENA contributes funding, and conform that agreement to a change in CCSI's and GE's strategy for commercializing the technology. The funding obligation itself is interconnected with the turbine purchases for ENA's Pastoria project in California, but I don't believe that transaction needs analysis for these purposes,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To comply with SEC rules in connection with the distribution, CCSI has filed an S-1 registration statement registering the CCSI common stock to be distributed to Catalytica's shareholders with the SEC, and Catalytica, Inc. has filed a merger proxy statement with the SEC in connection with its solicitation of Catalytica stockholder approval to the acquisition transaction. Comments are expected from  the SEC in 4 to 6 weeks.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/mnt/main-storage/datasets/enron-docs/doc/Catalytica___Exhibit_A.doc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/mnt/main-storage/datasets/enron-docs/doc/Catalytica___Exhibit_A.doc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Pr>
        <w:b/>
        <w:smallCaps/>
        <w:sz w:val="20"/>
      </w:rPr>
      <w:t>Not Discoverable</w:t>
    </w:r>
  </w:p>
  <w:p>
    <w:pPr>
      <w:pStyle w:val="Header"/>
      <w:tabs>
        <w:tab w:val="clear" w:pos="4320"/>
        <w:tab w:val="clear" w:pos="8640"/>
        <w:tab w:val="right" w:pos="9360" w:leader="none"/>
      </w:tabs>
      <w:spacing w:before="0" w:after="240"/>
      <w:rPr>
        <w:b/>
        <w:smallCaps/>
        <w:sz w:val="20"/>
      </w:rPr>
    </w:pPr>
    <w:r>
      <w:rPr>
        <w:b/>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1">
    <w:name w:val="WW8Num1z1"/>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2000-09-15T14:47:00Z</dcterms:created>
  <dc:creator>Jeff Ford</dc:creator>
  <dc:description/>
  <dc:language>en-CA</dc:language>
  <cp:lastModifiedBy>brian schwertner</cp:lastModifiedBy>
  <cp:lastPrinted>2000-09-15T12:15:00Z</cp:lastPrinted>
  <dcterms:modified xsi:type="dcterms:W3CDTF">2000-09-15T14:47:00Z</dcterms:modified>
  <cp:revision>2</cp:revision>
  <dc:subject>Analysis of ECT's Financial, Power and Gas Forms</dc:subject>
  <dc:title>Eron Capital &amp; Trade Resources Memo</dc:title>
</cp:coreProperties>
</file>