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North America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Combustion Systems,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North America Corp. (“Company”)</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Option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Option: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dstrike/>
          <w:sz w:val="22"/>
          <w:lang w:val="en-US"/>
        </w:rPr>
      </w:pPr>
      <w:r>
        <w:rPr>
          <w:rFonts w:cs="Times New Roman" w:ascii="Times New Roman" w:hAnsi="Times New Roman"/>
          <w:dstrike/>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dstrike/>
          <w:sz w:val="22"/>
          <w:lang w:val="en-US"/>
        </w:rPr>
      </w:pPr>
      <w:r>
        <w:rPr>
          <w:rFonts w:cs="Times New Roman" w:ascii="Times New Roman" w:hAnsi="Times New Roman"/>
          <w:dstrike/>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Company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color w:val="FF0000"/>
          <w:sz w:val="22"/>
          <w:lang w:val="en-US"/>
        </w:rPr>
      </w:pPr>
      <w:r>
        <w:rPr>
          <w:rFonts w:cs="Times New Roman" w:ascii="Times New Roman" w:hAnsi="Times New Roman"/>
          <w:color w:val="FF0000"/>
          <w:sz w:val="22"/>
          <w:u w:val="single"/>
          <w:lang w:val="en-US"/>
        </w:rPr>
        <w:t xml:space="preserve">Total Premium </w:t>
      </w:r>
      <w:r>
        <w:rPr>
          <w:rFonts w:cs="Times New Roman" w:ascii="Times New Roman" w:hAnsi="Times New Roman"/>
          <w:dstrike/>
          <w:color w:val="FF0000"/>
          <w:sz w:val="22"/>
          <w:u w:val="single"/>
          <w:lang w:val="en-US"/>
        </w:rPr>
        <w:t>Payment:</w:t>
      </w:r>
      <w:r>
        <w:rPr>
          <w:rFonts w:cs="Times New Roman" w:ascii="Times New Roman" w:hAnsi="Times New Roman"/>
          <w:color w:val="FF0000"/>
          <w:sz w:val="22"/>
          <w:lang w:val="en-US"/>
        </w:rPr>
        <w:tab/>
      </w:r>
      <w:r>
        <w:rPr>
          <w:rFonts w:cs="Times New Roman" w:ascii="Times New Roman" w:hAnsi="Times New Roman"/>
          <w:color w:val="FF0000"/>
          <w:sz w:val="22"/>
          <w:u w:val="single"/>
          <w:lang w:val="en-US"/>
        </w:rPr>
        <w:t>[U.S. Dollars 9,900,000] (“Premium Payment”)</w:t>
      </w:r>
    </w:p>
    <w:p>
      <w:pPr>
        <w:pStyle w:val="Normal"/>
        <w:tabs>
          <w:tab w:val="clear" w:pos="720"/>
          <w:tab w:val="left" w:pos="4320" w:leader="none"/>
          <w:tab w:val="right" w:pos="6480" w:leader="none"/>
        </w:tabs>
        <w:ind w:start="720" w:end="0"/>
        <w:jc w:val="both"/>
        <w:rPr>
          <w:rFonts w:ascii="Times New Roman" w:hAnsi="Times New Roman" w:cs="Times New Roman"/>
          <w:color w:val="FF0000"/>
          <w:sz w:val="22"/>
          <w:lang w:val="en-US"/>
        </w:rPr>
      </w:pPr>
      <w:r>
        <w:rPr>
          <w:rFonts w:cs="Times New Roman" w:ascii="Times New Roman" w:hAnsi="Times New Roman"/>
          <w:color w:val="FF0000"/>
          <w:sz w:val="22"/>
          <w:lang w:val="en-US"/>
        </w:rPr>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 xml:space="preserve">Premium Payment </w:t>
      </w:r>
      <w:r>
        <w:rPr>
          <w:rFonts w:cs="Times New Roman" w:ascii="Times New Roman" w:hAnsi="Times New Roman"/>
          <w:color w:val="FF0000"/>
          <w:sz w:val="22"/>
          <w:u w:val="single"/>
          <w:lang w:val="en-US"/>
        </w:rPr>
        <w:t>Dates</w:t>
      </w:r>
      <w:r>
        <w:rPr>
          <w:rFonts w:cs="Times New Roman" w:ascii="Times New Roman" w:hAnsi="Times New Roman"/>
          <w:sz w:val="22"/>
          <w:lang w:val="en-US"/>
        </w:rPr>
        <w:t>:</w:t>
        <w:tab/>
      </w:r>
      <w:r>
        <w:rPr>
          <w:rFonts w:cs="Times New Roman" w:ascii="Times New Roman" w:hAnsi="Times New Roman"/>
          <w:color w:val="FF0000"/>
          <w:sz w:val="22"/>
          <w:lang w:val="en-US"/>
        </w:rPr>
        <w:t>[</w:t>
      </w:r>
      <w:r>
        <w:rPr>
          <w:rFonts w:cs="Times New Roman" w:ascii="Times New Roman" w:hAnsi="Times New Roman"/>
          <w:sz w:val="22"/>
          <w:lang w:val="en-US"/>
        </w:rPr>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Company </w:t>
      </w:r>
      <w:r>
        <w:rPr>
          <w:rFonts w:cs="Times New Roman" w:ascii="Times New Roman" w:hAnsi="Times New Roman"/>
          <w:dstrike/>
          <w:sz w:val="22"/>
          <w:lang w:val="en-US"/>
        </w:rPr>
        <w:t>U.S. Dollars 9,900,000.00</w:t>
      </w:r>
      <w:r>
        <w:rPr>
          <w:rFonts w:cs="Times New Roman" w:ascii="Times New Roman" w:hAnsi="Times New Roman"/>
          <w:sz w:val="22"/>
          <w:lang w:val="en-US"/>
        </w:rPr>
        <w:t xml:space="preserve"> </w:t>
      </w:r>
      <w:r>
        <w:rPr>
          <w:rFonts w:cs="Times New Roman" w:ascii="Times New Roman" w:hAnsi="Times New Roman"/>
          <w:color w:val="FF0000"/>
          <w:sz w:val="22"/>
          <w:u w:val="single"/>
          <w:lang w:val="en-US"/>
        </w:rPr>
        <w:t>the Premium Payment]</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hanging="1440" w:start="2160" w:end="0"/>
        <w:jc w:val="both"/>
        <w:rPr/>
      </w:pPr>
      <w:r>
        <w:rPr>
          <w:rFonts w:cs="Times New Roman" w:ascii="Times New Roman" w:hAnsi="Times New Roman"/>
          <w:sz w:val="22"/>
          <w:lang w:val="en-US"/>
        </w:rPr>
        <w:t>Automatic Exercise:</w:t>
        <w:tab/>
        <w:t xml:space="preserve">Applicable </w:t>
      </w:r>
      <w:r>
        <w:rPr>
          <w:rFonts w:cs="Times New Roman" w:ascii="Times New Roman" w:hAnsi="Times New Roman"/>
          <w:color w:val="FF0000"/>
          <w:sz w:val="22"/>
          <w:u w:val="single"/>
          <w:lang w:val="en-US"/>
        </w:rPr>
        <w:t>if not repurchased or terminated in</w:t>
      </w:r>
      <w:r>
        <w:rPr>
          <w:rFonts w:cs="Times New Roman" w:ascii="Times New Roman" w:hAnsi="Times New Roman"/>
          <w:color w:val="FF0000"/>
          <w:sz w:val="22"/>
          <w:lang w:val="en-US"/>
        </w:rPr>
        <w:t xml:space="preserve"> </w:t>
      </w:r>
    </w:p>
    <w:p>
      <w:pPr>
        <w:pStyle w:val="Normal"/>
        <w:tabs>
          <w:tab w:val="clear" w:pos="720"/>
          <w:tab w:val="left" w:pos="4320" w:leader="none"/>
          <w:tab w:val="right" w:pos="6480" w:leader="none"/>
        </w:tabs>
        <w:ind w:start="720" w:end="0"/>
        <w:jc w:val="both"/>
        <w:rPr/>
      </w:pPr>
      <w:r>
        <w:rPr>
          <w:rFonts w:cs="Times New Roman" w:ascii="Times New Roman" w:hAnsi="Times New Roman"/>
          <w:color w:val="FF0000"/>
          <w:sz w:val="22"/>
          <w:lang w:val="en-US"/>
        </w:rPr>
        <w:tab/>
      </w:r>
      <w:r>
        <w:rPr>
          <w:rFonts w:cs="Times New Roman" w:ascii="Times New Roman" w:hAnsi="Times New Roman"/>
          <w:color w:val="FF0000"/>
          <w:sz w:val="22"/>
          <w:u w:val="single"/>
          <w:lang w:val="en-US"/>
        </w:rPr>
        <w:t>accordance with the Option Repurchase Agreement</w:t>
      </w:r>
    </w:p>
    <w:p>
      <w:pPr>
        <w:pStyle w:val="Normal"/>
        <w:tabs>
          <w:tab w:val="clear" w:pos="720"/>
          <w:tab w:val="left" w:pos="4320" w:leader="none"/>
          <w:tab w:val="right" w:pos="6480" w:leader="none"/>
        </w:tabs>
        <w:ind w:start="720" w:end="0"/>
        <w:jc w:val="both"/>
        <w:rPr/>
      </w:pPr>
      <w:r>
        <w:rPr>
          <w:rFonts w:cs="Times New Roman" w:ascii="Times New Roman" w:hAnsi="Times New Roman"/>
          <w:color w:val="FF0000"/>
          <w:sz w:val="22"/>
          <w:lang w:val="en-US"/>
        </w:rPr>
        <w:tab/>
      </w:r>
      <w:r>
        <w:rPr>
          <w:rFonts w:cs="Times New Roman" w:ascii="Times New Roman" w:hAnsi="Times New Roman"/>
          <w:color w:val="FF0000"/>
          <w:sz w:val="22"/>
          <w:u w:val="single"/>
          <w:lang w:val="en-US"/>
        </w:rPr>
        <w:t xml:space="preserve">executed effective ____, 1999 by and between </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color w:val="FF0000"/>
          <w:sz w:val="22"/>
          <w:lang w:val="en-US"/>
        </w:rPr>
        <w:tab/>
      </w:r>
      <w:r>
        <w:rPr>
          <w:rFonts w:cs="Times New Roman" w:ascii="Times New Roman" w:hAnsi="Times New Roman"/>
          <w:color w:val="FF0000"/>
          <w:sz w:val="22"/>
          <w:u w:val="single"/>
          <w:lang w:val="en-US"/>
        </w:rPr>
        <w:t>Company and Counterparty</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20"/>
          <w:tab w:val="left" w:pos="4320" w:leader="none"/>
          <w:tab w:val="right" w:pos="6480" w:leader="none"/>
        </w:tabs>
        <w:ind w:start="720" w:end="0"/>
        <w:jc w:val="both"/>
        <w:rPr>
          <w:rFonts w:ascii="Times New Roman" w:hAnsi="Times New Roman" w:cs="Times New Roman"/>
          <w:color w:val="FF0000"/>
          <w:sz w:val="22"/>
          <w:lang w:val="en-US"/>
        </w:rPr>
      </w:pPr>
      <w:r>
        <w:rPr>
          <w:rFonts w:cs="Times New Roman" w:ascii="Times New Roman" w:hAnsi="Times New Roman"/>
          <w:color w:val="FF0000"/>
          <w:sz w:val="22"/>
          <w:u w:val="single"/>
          <w:lang w:val="en-US"/>
        </w:rPr>
        <w:t>Exercise Period:</w:t>
      </w:r>
      <w:r>
        <w:rPr>
          <w:rFonts w:cs="Times New Roman" w:ascii="Times New Roman" w:hAnsi="Times New Roman"/>
          <w:color w:val="FF0000"/>
          <w:sz w:val="22"/>
          <w:lang w:val="en-US"/>
        </w:rPr>
        <w:tab/>
      </w:r>
      <w:r>
        <w:rPr>
          <w:rFonts w:cs="Times New Roman" w:ascii="Times New Roman" w:hAnsi="Times New Roman"/>
          <w:color w:val="FF0000"/>
          <w:sz w:val="22"/>
          <w:u w:val="single"/>
          <w:lang w:val="en-US"/>
        </w:rPr>
        <w:t>Inapplicable</w:t>
      </w:r>
    </w:p>
    <w:p>
      <w:pPr>
        <w:pStyle w:val="Normal"/>
        <w:tabs>
          <w:tab w:val="clear" w:pos="720"/>
          <w:tab w:val="left" w:pos="4320" w:leader="none"/>
          <w:tab w:val="right" w:pos="6480" w:leader="none"/>
        </w:tabs>
        <w:ind w:start="720" w:end="0"/>
        <w:jc w:val="both"/>
        <w:rPr>
          <w:rFonts w:ascii="Times New Roman" w:hAnsi="Times New Roman" w:cs="Times New Roman"/>
          <w:color w:val="FF0000"/>
          <w:sz w:val="22"/>
          <w:lang w:val="en-US"/>
        </w:rPr>
      </w:pPr>
      <w:r>
        <w:rPr>
          <w:rFonts w:cs="Times New Roman" w:ascii="Times New Roman" w:hAnsi="Times New Roman"/>
          <w:color w:val="FF0000"/>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Transaction Terms: </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pPr>
      <w:r>
        <w:rPr>
          <w:rFonts w:cs="Times New Roman" w:ascii="Times New Roman" w:hAnsi="Times New Roman"/>
          <w:sz w:val="22"/>
          <w:lang w:val="en-US"/>
        </w:rPr>
        <w:tab/>
        <w:t>Determination Period(s):</w:t>
        <w:tab/>
      </w:r>
      <w:r>
        <w:rPr>
          <w:rFonts w:cs="Times New Roman" w:ascii="Times New Roman" w:hAnsi="Times New Roman"/>
          <w:color w:val="FF0000"/>
          <w:sz w:val="22"/>
          <w:u w:val="single"/>
          <w:lang w:val="en-US"/>
        </w:rPr>
        <w:t>Calendar m</w:t>
      </w:r>
      <w:r>
        <w:rPr>
          <w:rFonts w:cs="Times New Roman" w:ascii="Times New Roman" w:hAnsi="Times New Roman"/>
          <w:sz w:val="22"/>
          <w:lang w:val="en-US"/>
        </w:rPr>
        <w:t>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Cash Settlement Amount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Amount Payor:</w:t>
        <w:tab/>
        <w:tab/>
        <w:tab/>
        <w:t>Company</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Cash Settlement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 Dollar amount (where positive) payable by Company,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w:t>
      </w:r>
      <w:r>
        <w:rPr>
          <w:rFonts w:cs="Times New Roman" w:ascii="Times New Roman" w:hAnsi="Times New Roman"/>
          <w:color w:val="0000FF"/>
          <w:sz w:val="22"/>
          <w:lang w:val="en-US"/>
        </w:rPr>
        <w:t>Midpoint</w:t>
      </w:r>
      <w:r>
        <w:rPr>
          <w:rFonts w:cs="Times New Roman" w:ascii="Times New Roman" w:hAnsi="Times New Roman"/>
          <w:sz w:val="22"/>
          <w:lang w:val="en-US"/>
        </w:rPr>
        <w:t>: Others: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r>
    </w:p>
    <w:p>
      <w:pPr>
        <w:pStyle w:val="Normal"/>
        <w:ind w:hanging="3600" w:start="4320" w:end="0"/>
        <w:jc w:val="both"/>
        <w:rPr>
          <w:rFonts w:ascii="Times New Roman" w:hAnsi="Times New Roman" w:cs="Times New Roman"/>
          <w:sz w:val="22"/>
        </w:rPr>
      </w:pPr>
      <w:r>
        <w:rPr>
          <w:rFonts w:cs="Times New Roman" w:ascii="Times New Roman" w:hAnsi="Times New Roman"/>
          <w:sz w:val="22"/>
        </w:rPr>
        <w:tab/>
        <w:t xml:space="preserve">Notwithstanding any other provisions of this Confirmation or any Master Agreement that may be entered into by the parties, </w:t>
      </w:r>
      <w:r>
        <w:rPr>
          <w:rFonts w:cs="Times New Roman" w:ascii="Times New Roman" w:hAnsi="Times New Roman"/>
          <w:color w:val="FF0000"/>
          <w:sz w:val="22"/>
          <w:u w:val="single"/>
        </w:rPr>
        <w:t>prior to</w:t>
      </w:r>
      <w:r>
        <w:rPr>
          <w:rFonts w:cs="Times New Roman" w:ascii="Times New Roman" w:hAnsi="Times New Roman"/>
          <w:sz w:val="22"/>
        </w:rPr>
        <w:t xml:space="preserve"> </w:t>
      </w:r>
      <w:r>
        <w:rPr>
          <w:rFonts w:cs="Times New Roman" w:ascii="Times New Roman" w:hAnsi="Times New Roman"/>
          <w:color w:val="FF0000"/>
          <w:sz w:val="22"/>
          <w:u w:val="single"/>
        </w:rPr>
        <w:t>[December 31, 2005]</w:t>
      </w:r>
      <w:r>
        <w:rPr>
          <w:rFonts w:cs="Times New Roman" w:ascii="Times New Roman" w:hAnsi="Times New Roman"/>
          <w:sz w:val="22"/>
        </w:rPr>
        <w:t xml:space="preserve"> this Confirmation and the Transaction described herein shall be subject to the terms and conditions of that certain Option Repurchase Agreement of even date herewith between Company and Counterparty, and to the extent any provision of this Confirmation, </w:t>
      </w:r>
      <w:r>
        <w:rPr>
          <w:rFonts w:cs="Times New Roman" w:ascii="Times New Roman" w:hAnsi="Times New Roman"/>
          <w:color w:val="FF0000"/>
          <w:sz w:val="22"/>
          <w:u w:val="single"/>
        </w:rPr>
        <w:t xml:space="preserve">other than Section 6(b) of the general terms and conditions contained in Annex A,  </w:t>
      </w:r>
      <w:r>
        <w:rPr>
          <w:rFonts w:cs="Times New Roman" w:ascii="Times New Roman" w:hAnsi="Times New Roman"/>
          <w:sz w:val="22"/>
        </w:rPr>
        <w:t xml:space="preserve">or any such Master Agreement shall be inconsistent with such Option Repurchase Agreement, including with respect to remedies and the termination of this Confirmation and such Option, the terms of the Option Repurchase Agreement shall be controlling. </w:t>
      </w:r>
      <w:r>
        <w:rPr>
          <w:rFonts w:cs="Times New Roman" w:ascii="Times New Roman" w:hAnsi="Times New Roman"/>
          <w:color w:val="FF0000"/>
          <w:sz w:val="22"/>
          <w:u w:val="single"/>
        </w:rPr>
        <w:t xml:space="preserve">Without limiting the generality of the foregoing, if this Transaction is terminated prior to </w:t>
      </w:r>
      <w:r>
        <w:rPr>
          <w:rFonts w:cs="Times New Roman" w:ascii="Times New Roman" w:hAnsi="Times New Roman"/>
          <w:dstrike/>
          <w:color w:val="FF0000"/>
          <w:sz w:val="22"/>
          <w:u w:val="single"/>
        </w:rPr>
        <w:t>the</w:t>
      </w:r>
      <w:r>
        <w:rPr>
          <w:rFonts w:cs="Times New Roman" w:ascii="Times New Roman" w:hAnsi="Times New Roman"/>
          <w:color w:val="FF0000"/>
          <w:sz w:val="22"/>
          <w:u w:val="single"/>
        </w:rPr>
        <w:t xml:space="preserve"> </w:t>
      </w:r>
      <w:r>
        <w:rPr>
          <w:rFonts w:cs="Times New Roman" w:ascii="Times New Roman" w:hAnsi="Times New Roman"/>
          <w:dstrike/>
          <w:color w:val="FF0000"/>
          <w:sz w:val="22"/>
          <w:u w:val="single"/>
        </w:rPr>
        <w:t>Effective Date</w:t>
      </w:r>
      <w:r>
        <w:rPr>
          <w:rFonts w:cs="Times New Roman" w:ascii="Times New Roman" w:hAnsi="Times New Roman"/>
          <w:color w:val="FF0000"/>
          <w:sz w:val="22"/>
          <w:u w:val="single"/>
        </w:rPr>
        <w:t xml:space="preserve"> [December 31, 2005] by reason of an Event of Default as defined in Annex A, then the remedies set forth in Annex A shall not apply to the Transaction.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North America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North America Corp.</w:t>
        <w:tab/>
        <w:tab/>
        <w:tab/>
        <w:tab/>
        <w:t>Catalytica Combustion Systems,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COMPANY,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Company</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t>__________________________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1999-08-13T20:33:00Z</dcterms:created>
  <dc:creator>appinst</dc:creator>
  <dc:description/>
  <cp:keywords>Basic Swap Collar</cp:keywords>
  <dc:language>en-CA</dc:language>
  <cp:lastModifiedBy>ddupre2</cp:lastModifiedBy>
  <cp:lastPrinted>1999-12-07T09:16:00Z</cp:lastPrinted>
  <dcterms:modified xsi:type="dcterms:W3CDTF">1999-12-07T16:31:00Z</dcterms:modified>
  <cp:revision>23</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