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2.xml" ContentType="application/vnd.openxmlformats-officedocument.wordprocessingml.footer+xml"/>
  <Override PartName="/word/header5.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media/image1.png" ContentType="image/png"/>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0"/>
              </w:rPr>
            </w:pPr>
            <w:r>
              <w:rPr>
                <w:b/>
                <w:sz w:val="20"/>
              </w:rPr>
              <w:fldChar w:fldCharType="begin"/>
            </w:r>
            <w:r>
              <w:rPr>
                <w:sz w:val="20"/>
                <w:b/>
              </w:rPr>
              <w:instrText xml:space="preserve"> MERGEFIELD EnronEntityName </w:instrText>
            </w:r>
            <w:r>
              <w:rPr>
                <w:sz w:val="20"/>
                <w:b/>
              </w:rPr>
              <w:fldChar w:fldCharType="separate"/>
            </w:r>
            <w:r>
              <w:rPr>
                <w:sz w:val="20"/>
                <w:b/>
              </w:rPr>
              <w:t>Enron North America Corp.</w:t>
            </w:r>
            <w:r>
              <w:rPr>
                <w:sz w:val="20"/>
                <w:b/>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EnronLogoAddr1 </w:instrText>
            </w:r>
            <w:r>
              <w:rPr>
                <w:sz w:val="20"/>
                <w:i/>
              </w:rPr>
              <w:fldChar w:fldCharType="separate"/>
            </w:r>
            <w:r>
              <w:rPr>
                <w:sz w:val="20"/>
                <w:i/>
              </w:rPr>
              <w:t>P.O. Box 4428</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EnronLogoAddr2 </w:instrText>
            </w:r>
            <w:r>
              <w:rPr>
                <w:sz w:val="20"/>
                <w:i/>
              </w:rPr>
              <w:fldChar w:fldCharType="separate"/>
            </w:r>
            <w:r>
              <w:rPr>
                <w:sz w:val="20"/>
                <w:i/>
              </w:rPr>
              <w:t>Houston TX 77210-4428</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EnronLogoAddr3 </w:instrText>
            </w:r>
            <w:r>
              <w:rPr>
                <w:sz w:val="20"/>
                <w:i/>
              </w:rPr>
              <w:fldChar w:fldCharType="separate"/>
            </w:r>
            <w:r>
              <w:rPr>
                <w:sz w:val="20"/>
                <w:i/>
              </w:rPr>
              <w:t>(713) 853-3300</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EnronLogoTelephone </w:instrText>
            </w:r>
            <w:r>
              <w:rPr>
                <w:sz w:val="20"/>
                <w:i/>
              </w:rPr>
              <w:fldChar w:fldCharType="separate"/>
            </w:r>
            <w:r>
              <w:rPr>
                <w:sz w:val="20"/>
                <w:i/>
              </w:rPr>
              <w:t>Fax (713) 646-4816</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EnronLogoFax </w:instrText>
            </w:r>
            <w:r>
              <w:rPr>
                <w:sz w:val="20"/>
                <w:i/>
              </w:rPr>
              <w:fldChar w:fldCharType="separate"/>
            </w:r>
            <w:r>
              <w:rPr>
                <w:sz w:val="20"/>
                <w:i/>
              </w:rPr>
              <w:t xml:space="preserve"> </w:t>
            </w:r>
            <w:r>
              <w:rPr>
                <w:sz w:val="20"/>
                <w:i/>
              </w:rPr>
              <w:fldChar w:fldCharType="end"/>
            </w:r>
          </w:p>
        </w:tc>
      </w:tr>
    </w:tbl>
    <w:p>
      <w:pPr>
        <w:pStyle w:val="Normal"/>
        <w:rPr>
          <w:sz w:val="20"/>
        </w:rPr>
      </w:pPr>
      <w:r>
        <w:rPr>
          <w:sz w:val="20"/>
        </w:rPr>
      </w:r>
    </w:p>
    <w:p>
      <w:pPr>
        <w:pStyle w:val="Normal"/>
        <w:numPr>
          <w:ilvl w:val="0"/>
          <w:numId w:val="0"/>
        </w:numPr>
        <w:jc w:val="center"/>
        <w:outlineLvl w:val="0"/>
        <w:rPr>
          <w:b/>
          <w:sz w:val="20"/>
        </w:rPr>
      </w:pPr>
      <w:r>
        <w:rPr>
          <w:b/>
          <w:sz w:val="20"/>
        </w:rPr>
        <w:t xml:space="preserve"> </w:t>
      </w:r>
      <w:r>
        <w:rPr>
          <w:b/>
          <w:sz w:val="20"/>
        </w:rPr>
        <w:t xml:space="preserve">CONFIRMATION </w:t>
      </w:r>
    </w:p>
    <w:p>
      <w:pPr>
        <w:pStyle w:val="Normal"/>
        <w:numPr>
          <w:ilvl w:val="0"/>
          <w:numId w:val="0"/>
        </w:numPr>
        <w:jc w:val="center"/>
        <w:outlineLvl w:val="0"/>
        <w:rPr>
          <w:b/>
          <w:sz w:val="20"/>
        </w:rPr>
      </w:pPr>
      <w:r>
        <w:rPr>
          <w:b/>
          <w:sz w:val="20"/>
        </w:rPr>
        <w:t>(SWAP)</w:t>
      </w:r>
    </w:p>
    <w:p>
      <w:pPr>
        <w:pStyle w:val="Normal"/>
        <w:rPr>
          <w:b/>
          <w:sz w:val="20"/>
        </w:rPr>
      </w:pPr>
      <w:r>
        <w:rPr>
          <w:b/>
          <w:sz w:val="20"/>
        </w:rPr>
      </w:r>
    </w:p>
    <w:p>
      <w:pPr>
        <w:pStyle w:val="Normal"/>
        <w:rPr>
          <w:sz w:val="20"/>
        </w:rPr>
      </w:pPr>
      <w:r>
        <w:rPr>
          <w:sz w:val="20"/>
        </w:rPr>
        <w:t>Date:</w:t>
        <w:tab/>
        <w:tab/>
        <w:tab/>
        <w:tab/>
      </w:r>
      <w:r>
        <w:rPr>
          <w:sz w:val="20"/>
        </w:rPr>
        <w:fldChar w:fldCharType="begin"/>
      </w:r>
      <w:r>
        <w:rPr>
          <w:sz w:val="20"/>
        </w:rPr>
        <w:instrText xml:space="preserve"> MERGEFIELD DealDate </w:instrText>
      </w:r>
      <w:r>
        <w:rPr>
          <w:sz w:val="20"/>
        </w:rPr>
        <w:fldChar w:fldCharType="separate"/>
      </w:r>
      <w:r>
        <w:rPr>
          <w:sz w:val="20"/>
        </w:rPr>
        <w:t>March 09, 2001</w:t>
      </w:r>
      <w:r>
        <w:rPr>
          <w:sz w:val="20"/>
        </w:rPr>
        <w:fldChar w:fldCharType="end"/>
      </w:r>
    </w:p>
    <w:p>
      <w:pPr>
        <w:pStyle w:val="Normal"/>
        <w:rPr/>
      </w:pPr>
      <w:r>
        <w:rPr>
          <w:sz w:val="20"/>
        </w:rPr>
        <w:t>To:</w:t>
        <w:tab/>
        <w:tab/>
        <w:tab/>
        <w:tab/>
      </w:r>
      <w:r>
        <w:rPr>
          <w:sz w:val="20"/>
        </w:rPr>
        <w:fldChar w:fldCharType="begin"/>
      </w:r>
      <w:r>
        <w:rPr>
          <w:sz w:val="20"/>
        </w:rPr>
        <w:instrText xml:space="preserve"> MERGEFIELD CounterpartyName </w:instrText>
      </w:r>
      <w:r>
        <w:rPr>
          <w:sz w:val="20"/>
        </w:rPr>
        <w:fldChar w:fldCharType="separate"/>
      </w:r>
      <w:r>
        <w:rPr>
          <w:sz w:val="20"/>
        </w:rPr>
        <w:t>Catequil Overseas Partners, Ltd.</w:t>
      </w:r>
      <w:r>
        <w:rPr>
          <w:sz w:val="20"/>
        </w:rPr>
        <w:fldChar w:fldCharType="end"/>
      </w:r>
      <w:r>
        <w:rPr>
          <w:sz w:val="20"/>
        </w:rPr>
        <w:t xml:space="preserve"> (“Counterparty”)</w:t>
      </w:r>
    </w:p>
    <w:p>
      <w:pPr>
        <w:pStyle w:val="Normal"/>
        <w:rPr>
          <w:sz w:val="20"/>
        </w:rPr>
      </w:pPr>
      <w:r>
        <w:rPr>
          <w:sz w:val="20"/>
        </w:rPr>
        <w:t>Attention:</w:t>
        <w:tab/>
        <w:tab/>
        <w:tab/>
      </w:r>
      <w:r>
        <w:rPr>
          <w:sz w:val="20"/>
        </w:rPr>
        <w:fldChar w:fldCharType="begin"/>
      </w:r>
      <w:r>
        <w:rPr>
          <w:sz w:val="20"/>
        </w:rPr>
        <w:instrText xml:space="preserve"> MERGEFIELD CounterpartyContact </w:instrText>
      </w:r>
      <w:r>
        <w:rPr>
          <w:sz w:val="20"/>
        </w:rPr>
        <w:fldChar w:fldCharType="separate"/>
      </w:r>
      <w:r>
        <w:rPr>
          <w:sz w:val="20"/>
        </w:rPr>
        <w:t>Document Department</w:t>
      </w:r>
      <w:r>
        <w:rPr>
          <w:sz w:val="20"/>
        </w:rPr>
        <w:fldChar w:fldCharType="end"/>
      </w:r>
    </w:p>
    <w:p>
      <w:pPr>
        <w:pStyle w:val="Index1"/>
        <w:rPr>
          <w:rFonts w:ascii="Times New Roman" w:hAnsi="Times New Roman" w:cs="Times New Roman"/>
        </w:rPr>
      </w:pPr>
      <w:r>
        <w:rPr>
          <w:rFonts w:cs="Times New Roman" w:ascii="Times New Roman" w:hAnsi="Times New Roman"/>
        </w:rPr>
        <w:t>Fax No.:</w:t>
        <w:tab/>
        <w:tab/>
        <w:tab/>
        <w:tab/>
        <w:t>732-563-0919</w:t>
      </w:r>
    </w:p>
    <w:p>
      <w:pPr>
        <w:pStyle w:val="Normal"/>
        <w:numPr>
          <w:ilvl w:val="0"/>
          <w:numId w:val="0"/>
        </w:numPr>
        <w:outlineLvl w:val="0"/>
        <w:rPr/>
      </w:pPr>
      <w:r>
        <w:rPr>
          <w:sz w:val="20"/>
        </w:rPr>
        <w:t>From:</w:t>
        <w:tab/>
        <w:tab/>
        <w:tab/>
        <w:tab/>
      </w:r>
      <w:r>
        <w:rPr>
          <w:sz w:val="20"/>
        </w:rPr>
        <w:fldChar w:fldCharType="begin"/>
      </w:r>
      <w:r>
        <w:rPr>
          <w:sz w:val="20"/>
        </w:rPr>
        <w:instrText xml:space="preserve"> MERGEFIELD EnronEntityNameCode </w:instrText>
      </w:r>
      <w:r>
        <w:rPr>
          <w:sz w:val="20"/>
        </w:rPr>
        <w:fldChar w:fldCharType="separate"/>
      </w:r>
      <w:r>
        <w:rPr>
          <w:sz w:val="20"/>
        </w:rPr>
        <w:t>Enron North America Corp.</w:t>
      </w:r>
      <w:r>
        <w:rPr>
          <w:sz w:val="20"/>
        </w:rPr>
        <w:fldChar w:fldCharType="end"/>
      </w:r>
      <w:r>
        <w:rPr>
          <w:sz w:val="20"/>
        </w:rPr>
        <w:t xml:space="preserve"> (“ENA”)</w:t>
      </w:r>
    </w:p>
    <w:p>
      <w:pPr>
        <w:pStyle w:val="Normal"/>
        <w:rPr>
          <w:sz w:val="20"/>
        </w:rPr>
      </w:pPr>
      <w:r>
        <w:rPr>
          <w:sz w:val="20"/>
        </w:rPr>
        <w:t>Re:</w:t>
        <w:tab/>
        <w:tab/>
        <w:tab/>
        <w:tab/>
        <w:t xml:space="preserve">Commodity Swap </w:t>
      </w:r>
      <w:r>
        <w:rPr>
          <w:sz w:val="20"/>
        </w:rPr>
        <w:fldChar w:fldCharType="begin"/>
      </w:r>
      <w:r>
        <w:rPr>
          <w:sz w:val="20"/>
        </w:rPr>
        <w:instrText xml:space="preserve"> MERGEFIELD DealNumber </w:instrText>
      </w:r>
      <w:r>
        <w:rPr>
          <w:sz w:val="20"/>
        </w:rPr>
        <w:fldChar w:fldCharType="separate"/>
      </w:r>
      <w:r>
        <w:rPr>
          <w:sz w:val="20"/>
        </w:rPr>
        <w:t>QW3079.2</w:t>
      </w:r>
      <w:r>
        <w:rPr>
          <w:sz w:val="20"/>
        </w:rPr>
        <w:fldChar w:fldCharType="end"/>
      </w:r>
    </w:p>
    <w:p>
      <w:pPr>
        <w:pStyle w:val="Normal"/>
        <w:rPr>
          <w:sz w:val="20"/>
        </w:rPr>
      </w:pPr>
      <w:r>
        <w:rPr>
          <w:sz w:val="20"/>
        </w:rPr>
      </w:r>
    </w:p>
    <w:p>
      <w:pPr>
        <w:pStyle w:val="Normal"/>
        <w:rPr>
          <w:sz w:val="20"/>
        </w:rPr>
      </w:pPr>
      <w:r>
        <w:rPr>
          <w:sz w:val="20"/>
        </w:rPr>
        <w:t>Dear Sirs:</w:t>
      </w:r>
    </w:p>
    <w:p>
      <w:pPr>
        <w:pStyle w:val="Normal"/>
        <w:rPr>
          <w:sz w:val="20"/>
        </w:rPr>
      </w:pPr>
      <w:r>
        <w:rPr>
          <w:sz w:val="20"/>
        </w:rPr>
      </w:r>
    </w:p>
    <w:p>
      <w:pPr>
        <w:pStyle w:val="BodyText"/>
        <w:rPr/>
      </w:pPr>
      <w:r>
        <w:rPr/>
        <w:t>The purpose of this document is to confirm the terms and conditions of the transaction entered into between Catequil Overseas Partners Ltd. (“Counterparty”) and Enron North America Corp. (“ENA”) on March 9, 2001 (the “Transaction”).  This document constitutes a “Confirmation” as referred to in the ISDA Agreement specified below and the transaction described above constitutes a “Transaction” as referred to in such ISDA Agreement.  This is a Confirmation of the following Transaction entered into between the parties.</w:t>
      </w:r>
    </w:p>
    <w:p>
      <w:pPr>
        <w:pStyle w:val="Normal"/>
        <w:jc w:val="both"/>
        <w:rPr>
          <w:sz w:val="20"/>
        </w:rPr>
      </w:pPr>
      <w:r>
        <w:rPr>
          <w:sz w:val="20"/>
        </w:rPr>
      </w:r>
    </w:p>
    <w:p>
      <w:pPr>
        <w:pStyle w:val="BodyText"/>
        <w:rPr/>
      </w:pPr>
      <w:r>
        <w:rPr/>
        <w:t>1.</w:t>
        <w:tab/>
        <w:t>The definitions and provisions contained in the 2000 ISDA Definitions and the 1993 ISDA Commodity Derivatives Definitions (as supplemented by the 2000 Supplement), as such definitions may be amended, supplemented, replaced or modified from time to time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2000 ISDA Definitions and the 1993 ISDA Commodity Derivatives Definitions, the 1993 ISDA Commodity Derivatives Definitions will prevail.</w:t>
      </w:r>
    </w:p>
    <w:p>
      <w:pPr>
        <w:pStyle w:val="Normal"/>
        <w:jc w:val="both"/>
        <w:rPr>
          <w:color w:val="FF0000"/>
          <w:sz w:val="20"/>
        </w:rPr>
      </w:pPr>
      <w:r>
        <w:rPr>
          <w:color w:val="FF0000"/>
          <w:sz w:val="20"/>
        </w:rPr>
      </w:r>
    </w:p>
    <w:p>
      <w:pPr>
        <w:pStyle w:val="Normal"/>
        <w:jc w:val="both"/>
        <w:rPr/>
      </w:pPr>
      <w:r>
        <w:rPr>
          <w:sz w:val="20"/>
        </w:rPr>
        <w:t>2.</w:t>
        <w:tab/>
      </w:r>
      <w:r>
        <w:rPr>
          <w:b/>
          <w:sz w:val="20"/>
          <w:u w:val="single"/>
        </w:rPr>
        <w:t>Terms of Transaction</w:t>
      </w:r>
      <w:r>
        <w:rPr>
          <w:b/>
          <w:sz w:val="20"/>
        </w:rPr>
        <w:t xml:space="preserve">.  </w:t>
      </w:r>
      <w:r>
        <w:rPr>
          <w:sz w:val="20"/>
        </w:rPr>
        <w:t>The terms of the particular Transaction to which this Confirmation relates are as follows:</w:t>
      </w:r>
    </w:p>
    <w:p>
      <w:pPr>
        <w:pStyle w:val="Normal"/>
        <w:rPr>
          <w:b/>
          <w:sz w:val="20"/>
        </w:rPr>
      </w:pPr>
      <w:r>
        <w:rPr>
          <w:b/>
          <w:sz w:val="20"/>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0"/>
              </w:rPr>
            </w:pPr>
            <w:r>
              <w:rPr>
                <w:sz w:val="20"/>
              </w:rPr>
              <w:t>Notional Quantity per</w:t>
            </w:r>
          </w:p>
          <w:p>
            <w:pPr>
              <w:pStyle w:val="Normal"/>
              <w:ind w:start="720" w:end="0"/>
              <w:rPr>
                <w:sz w:val="20"/>
              </w:rPr>
            </w:pPr>
            <w:r>
              <w:rPr>
                <w:sz w:val="20"/>
              </w:rPr>
              <w:t>Calculation Period:</w:t>
            </w:r>
          </w:p>
        </w:tc>
        <w:tc>
          <w:tcPr>
            <w:tcW w:w="6102" w:type="dxa"/>
            <w:tcBorders/>
          </w:tcPr>
          <w:p>
            <w:pPr>
              <w:pStyle w:val="Normal"/>
              <w:snapToGrid w:val="false"/>
              <w:jc w:val="both"/>
              <w:rPr>
                <w:sz w:val="20"/>
              </w:rPr>
            </w:pPr>
            <w:r>
              <w:rPr>
                <w:sz w:val="20"/>
              </w:rPr>
            </w:r>
          </w:p>
          <w:p>
            <w:pPr>
              <w:pStyle w:val="Normal"/>
              <w:jc w:val="both"/>
              <w:rPr>
                <w:sz w:val="20"/>
              </w:rPr>
            </w:pPr>
            <w:r>
              <w:rPr>
                <w:sz w:val="20"/>
              </w:rPr>
              <w:fldChar w:fldCharType="begin"/>
            </w:r>
            <w:r>
              <w:rPr>
                <w:sz w:val="20"/>
              </w:rPr>
              <w:instrText xml:space="preserve"> MERGEFIELD QtyPerPeriod </w:instrText>
            </w:r>
            <w:r>
              <w:rPr>
                <w:sz w:val="20"/>
              </w:rPr>
              <w:fldChar w:fldCharType="separate"/>
            </w:r>
            <w:r>
              <w:rPr>
                <w:sz w:val="20"/>
              </w:rPr>
              <w:t>5,887 MMBtu multiplied by the number of days in the relevant Calculation Period</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Commodity:</w:t>
              <w:tab/>
            </w:r>
          </w:p>
        </w:tc>
        <w:tc>
          <w:tcPr>
            <w:tcW w:w="6102" w:type="dxa"/>
            <w:tcBorders/>
          </w:tcPr>
          <w:p>
            <w:pPr>
              <w:pStyle w:val="Normal"/>
              <w:jc w:val="both"/>
              <w:rPr>
                <w:sz w:val="20"/>
              </w:rPr>
            </w:pPr>
            <w:r>
              <w:rPr>
                <w:sz w:val="20"/>
              </w:rPr>
              <w:fldChar w:fldCharType="begin"/>
            </w:r>
            <w:r>
              <w:rPr>
                <w:sz w:val="20"/>
              </w:rPr>
              <w:instrText xml:space="preserve"> MERGEFIELD CommodityName </w:instrText>
            </w:r>
            <w:r>
              <w:rPr>
                <w:sz w:val="20"/>
              </w:rPr>
              <w:fldChar w:fldCharType="separate"/>
            </w:r>
            <w:r>
              <w:rPr>
                <w:sz w:val="20"/>
              </w:rPr>
              <w:t>Natural Gas</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Commodity Unit:</w:t>
            </w:r>
          </w:p>
        </w:tc>
        <w:tc>
          <w:tcPr>
            <w:tcW w:w="6102" w:type="dxa"/>
            <w:tcBorders/>
          </w:tcPr>
          <w:p>
            <w:pPr>
              <w:pStyle w:val="Normal"/>
              <w:jc w:val="both"/>
              <w:rPr>
                <w:sz w:val="20"/>
              </w:rPr>
            </w:pPr>
            <w:r>
              <w:rPr>
                <w:sz w:val="20"/>
              </w:rPr>
              <w:fldChar w:fldCharType="begin"/>
            </w:r>
            <w:r>
              <w:rPr>
                <w:sz w:val="20"/>
              </w:rPr>
              <w:instrText xml:space="preserve"> MERGEFIELD UnitOfMeasure </w:instrText>
            </w:r>
            <w:r>
              <w:rPr>
                <w:sz w:val="20"/>
              </w:rPr>
              <w:fldChar w:fldCharType="separate"/>
            </w:r>
            <w:r>
              <w:rPr>
                <w:sz w:val="20"/>
              </w:rPr>
              <w:t>MMBtu (One Million British Thermal Units)</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Trade Date:</w:t>
            </w:r>
          </w:p>
        </w:tc>
        <w:tc>
          <w:tcPr>
            <w:tcW w:w="6102" w:type="dxa"/>
            <w:tcBorders/>
          </w:tcPr>
          <w:p>
            <w:pPr>
              <w:pStyle w:val="Normal"/>
              <w:jc w:val="both"/>
              <w:rPr>
                <w:sz w:val="20"/>
              </w:rPr>
            </w:pPr>
            <w:r>
              <w:rPr>
                <w:sz w:val="20"/>
              </w:rPr>
              <w:fldChar w:fldCharType="begin"/>
            </w:r>
            <w:r>
              <w:rPr>
                <w:sz w:val="20"/>
              </w:rPr>
              <w:instrText xml:space="preserve"> MERGEFIELD DealDate </w:instrText>
            </w:r>
            <w:r>
              <w:rPr>
                <w:sz w:val="20"/>
              </w:rPr>
              <w:fldChar w:fldCharType="separate"/>
            </w:r>
            <w:r>
              <w:rPr>
                <w:sz w:val="20"/>
              </w:rPr>
              <w:t>March 09, 2001</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Effective Date:</w:t>
              <w:tab/>
            </w:r>
          </w:p>
        </w:tc>
        <w:tc>
          <w:tcPr>
            <w:tcW w:w="6102" w:type="dxa"/>
            <w:tcBorders/>
          </w:tcPr>
          <w:p>
            <w:pPr>
              <w:pStyle w:val="Normal"/>
              <w:jc w:val="both"/>
              <w:rPr>
                <w:sz w:val="20"/>
              </w:rPr>
            </w:pPr>
            <w:r>
              <w:rPr>
                <w:sz w:val="20"/>
              </w:rPr>
              <w:fldChar w:fldCharType="begin"/>
            </w:r>
            <w:r>
              <w:rPr>
                <w:sz w:val="20"/>
              </w:rPr>
              <w:instrText xml:space="preserve"> MERGEFIELD TransStartDate </w:instrText>
            </w:r>
            <w:r>
              <w:rPr>
                <w:sz w:val="20"/>
              </w:rPr>
              <w:fldChar w:fldCharType="separate"/>
            </w:r>
            <w:r>
              <w:rPr>
                <w:sz w:val="20"/>
              </w:rPr>
              <w:t>May 01, 2001</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Termination Date:</w:t>
            </w:r>
          </w:p>
        </w:tc>
        <w:tc>
          <w:tcPr>
            <w:tcW w:w="6102" w:type="dxa"/>
            <w:tcBorders/>
          </w:tcPr>
          <w:p>
            <w:pPr>
              <w:pStyle w:val="Normal"/>
              <w:jc w:val="both"/>
              <w:rPr>
                <w:sz w:val="20"/>
              </w:rPr>
            </w:pPr>
            <w:r>
              <w:rPr>
                <w:sz w:val="20"/>
              </w:rPr>
              <w:fldChar w:fldCharType="begin"/>
            </w:r>
            <w:r>
              <w:rPr>
                <w:sz w:val="20"/>
              </w:rPr>
              <w:instrText xml:space="preserve"> MERGEFIELD TransStopDate </w:instrText>
            </w:r>
            <w:r>
              <w:rPr>
                <w:sz w:val="20"/>
              </w:rPr>
              <w:fldChar w:fldCharType="separate"/>
            </w:r>
            <w:r>
              <w:rPr>
                <w:sz w:val="20"/>
              </w:rPr>
              <w:t>October 31, 2001</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Calculation Period(s):</w:t>
            </w:r>
          </w:p>
        </w:tc>
        <w:tc>
          <w:tcPr>
            <w:tcW w:w="6102" w:type="dxa"/>
            <w:tcBorders/>
          </w:tcPr>
          <w:p>
            <w:pPr>
              <w:pStyle w:val="Normal"/>
              <w:jc w:val="both"/>
              <w:rPr>
                <w:sz w:val="20"/>
              </w:rPr>
            </w:pPr>
            <w:r>
              <w:rPr>
                <w:sz w:val="20"/>
              </w:rPr>
              <w:fldChar w:fldCharType="begin"/>
            </w:r>
            <w:r>
              <w:rPr>
                <w:sz w:val="20"/>
              </w:rPr>
              <w:instrText xml:space="preserve"> MERGEFIELD DeterminationPeriod </w:instrText>
            </w:r>
            <w:r>
              <w:rPr>
                <w:sz w:val="20"/>
              </w:rPr>
              <w:fldChar w:fldCharType="separate"/>
            </w:r>
            <w:r>
              <w:rPr>
                <w:sz w:val="20"/>
              </w:rPr>
              <w:t>Each calendar month beginning with May 01, 2001 and ending on October 31, 2001.</w:t>
            </w:r>
            <w:r>
              <w:rPr>
                <w:sz w:val="20"/>
              </w:rPr>
              <w:fldChar w:fldCharType="end"/>
            </w:r>
          </w:p>
        </w:tc>
      </w:tr>
    </w:tbl>
    <w:p>
      <w:pPr>
        <w:pStyle w:val="Normal"/>
        <w:rPr>
          <w:sz w:val="20"/>
        </w:rPr>
      </w:pPr>
      <w:r>
        <w:rPr>
          <w:sz w:val="20"/>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0"/>
              </w:rPr>
            </w:pPr>
            <w:r>
              <w:rPr>
                <w:sz w:val="20"/>
              </w:rPr>
              <w:t>Payment Date(s):</w:t>
            </w:r>
          </w:p>
        </w:tc>
        <w:tc>
          <w:tcPr>
            <w:tcW w:w="6102" w:type="dxa"/>
            <w:tcBorders/>
          </w:tcPr>
          <w:p>
            <w:pPr>
              <w:pStyle w:val="Normal"/>
              <w:jc w:val="both"/>
              <w:rPr>
                <w:sz w:val="20"/>
              </w:rPr>
            </w:pPr>
            <w:r>
              <w:rPr>
                <w:sz w:val="20"/>
              </w:rPr>
              <w:fldChar w:fldCharType="begin"/>
            </w:r>
            <w:r>
              <w:rPr>
                <w:sz w:val="20"/>
              </w:rPr>
              <w:instrText xml:space="preserve"> MERGEFIELD PaymentDates </w:instrText>
            </w:r>
            <w:r>
              <w:rPr>
                <w:sz w:val="20"/>
              </w:rPr>
              <w:fldChar w:fldCharType="separate"/>
            </w:r>
            <w:r>
              <w:rPr>
                <w:sz w:val="20"/>
              </w:rPr>
              <w:t>The fifth (5th) Business Day following the date on which the Floating Price is determinable</w:t>
            </w:r>
            <w:r>
              <w:rPr>
                <w:sz w:val="20"/>
              </w:rPr>
              <w:fldChar w:fldCharType="end"/>
            </w:r>
          </w:p>
        </w:tc>
      </w:tr>
    </w:tbl>
    <w:p>
      <w:pPr>
        <w:pStyle w:val="Normal"/>
        <w:rPr>
          <w:sz w:val="20"/>
        </w:rPr>
      </w:pPr>
      <w:r>
        <w:rPr>
          <w:sz w:val="20"/>
        </w:rPr>
      </w:r>
    </w:p>
    <w:p>
      <w:pPr>
        <w:pStyle w:val="Normal"/>
        <w:numPr>
          <w:ilvl w:val="0"/>
          <w:numId w:val="0"/>
        </w:numPr>
        <w:outlineLvl w:val="0"/>
        <w:rPr>
          <w:b/>
          <w:sz w:val="20"/>
        </w:rPr>
      </w:pPr>
      <w:r>
        <w:rPr>
          <w:b/>
          <w:sz w:val="20"/>
        </w:rPr>
        <w:t>Fixed Amount Details:</w:t>
      </w:r>
    </w:p>
    <w:p>
      <w:pPr>
        <w:pStyle w:val="Normal"/>
        <w:rPr>
          <w:b/>
          <w:sz w:val="20"/>
        </w:rPr>
      </w:pPr>
      <w:r>
        <w:rPr>
          <w:b/>
          <w:sz w:val="20"/>
        </w:rPr>
      </w:r>
    </w:p>
    <w:p>
      <w:pPr>
        <w:pStyle w:val="Normal"/>
        <w:numPr>
          <w:ilvl w:val="0"/>
          <w:numId w:val="0"/>
        </w:numPr>
        <w:jc w:val="both"/>
        <w:outlineLvl w:val="0"/>
        <w:rPr>
          <w:sz w:val="20"/>
        </w:rPr>
      </w:pPr>
      <w:r>
        <w:rPr>
          <w:sz w:val="20"/>
        </w:rPr>
        <w:tab/>
        <w:t>Fixed Price Payor:</w:t>
        <w:tab/>
        <w:tab/>
        <w:tab/>
      </w:r>
      <w:r>
        <w:rPr>
          <w:sz w:val="20"/>
        </w:rPr>
        <w:fldChar w:fldCharType="begin"/>
      </w:r>
      <w:r>
        <w:rPr>
          <w:sz w:val="20"/>
        </w:rPr>
        <w:instrText xml:space="preserve"> MERGEFIELD FixedPayerWCP </w:instrText>
      </w:r>
      <w:r>
        <w:rPr>
          <w:sz w:val="20"/>
        </w:rPr>
        <w:fldChar w:fldCharType="separate"/>
      </w:r>
      <w:r>
        <w:rPr>
          <w:sz w:val="20"/>
        </w:rPr>
        <w:t>ENA</w:t>
      </w:r>
      <w:r>
        <w:rPr>
          <w:sz w:val="20"/>
        </w:rPr>
        <w:fldChar w:fldCharType="end"/>
      </w:r>
    </w:p>
    <w:p>
      <w:pPr>
        <w:pStyle w:val="Normal"/>
        <w:rPr>
          <w:sz w:val="20"/>
        </w:rPr>
      </w:pPr>
      <w:r>
        <w:rPr>
          <w:sz w:val="20"/>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0"/>
              </w:rPr>
            </w:pPr>
            <w:r>
              <w:rPr>
                <w:sz w:val="20"/>
              </w:rPr>
              <w:t>Fixed Price:</w:t>
            </w:r>
          </w:p>
        </w:tc>
        <w:tc>
          <w:tcPr>
            <w:tcW w:w="6102" w:type="dxa"/>
            <w:tcBorders/>
          </w:tcPr>
          <w:p>
            <w:pPr>
              <w:pStyle w:val="Normal"/>
              <w:jc w:val="both"/>
              <w:rPr>
                <w:sz w:val="20"/>
              </w:rPr>
            </w:pPr>
            <w:r>
              <w:rPr>
                <w:sz w:val="20"/>
              </w:rPr>
              <w:fldChar w:fldCharType="begin"/>
            </w:r>
            <w:r>
              <w:rPr>
                <w:sz w:val="20"/>
              </w:rPr>
              <w:instrText xml:space="preserve"> MERGEFIELD FixedPrice </w:instrText>
            </w:r>
            <w:r>
              <w:rPr>
                <w:sz w:val="20"/>
              </w:rPr>
              <w:fldChar w:fldCharType="separate"/>
            </w:r>
            <w:r>
              <w:rPr>
                <w:sz w:val="20"/>
              </w:rPr>
              <w:t>The settlement price for the last scheduled trading day of the NYMEX Henry Hub Natural Gas Futures Contract for the applicable Calculation Period less US Dollars $0.26750 per MMBtu</w:t>
            </w:r>
            <w:r>
              <w:rPr>
                <w:sz w:val="20"/>
              </w:rPr>
              <w:fldChar w:fldCharType="end"/>
            </w:r>
          </w:p>
        </w:tc>
      </w:tr>
    </w:tbl>
    <w:p>
      <w:pPr>
        <w:pStyle w:val="Normal"/>
        <w:rPr>
          <w:sz w:val="20"/>
        </w:rPr>
      </w:pPr>
      <w:r>
        <w:rPr>
          <w:sz w:val="20"/>
        </w:rPr>
        <w:tab/>
      </w:r>
    </w:p>
    <w:p>
      <w:pPr>
        <w:pStyle w:val="Normal"/>
        <w:numPr>
          <w:ilvl w:val="0"/>
          <w:numId w:val="0"/>
        </w:numPr>
        <w:outlineLvl w:val="0"/>
        <w:rPr>
          <w:b/>
          <w:sz w:val="20"/>
        </w:rPr>
      </w:pPr>
      <w:r>
        <w:rPr>
          <w:b/>
          <w:sz w:val="20"/>
        </w:rPr>
        <w:t>Floating Amount Details:</w:t>
      </w:r>
    </w:p>
    <w:p>
      <w:pPr>
        <w:pStyle w:val="Normal"/>
        <w:rPr>
          <w:b/>
          <w:sz w:val="20"/>
        </w:rPr>
      </w:pPr>
      <w:r>
        <w:rPr>
          <w:b/>
          <w:sz w:val="20"/>
        </w:rPr>
      </w:r>
    </w:p>
    <w:p>
      <w:pPr>
        <w:pStyle w:val="Normal"/>
        <w:numPr>
          <w:ilvl w:val="0"/>
          <w:numId w:val="0"/>
        </w:numPr>
        <w:jc w:val="both"/>
        <w:outlineLvl w:val="0"/>
        <w:rPr>
          <w:sz w:val="20"/>
        </w:rPr>
      </w:pPr>
      <w:r>
        <w:rPr>
          <w:sz w:val="20"/>
        </w:rPr>
        <w:tab/>
        <w:t>Floating Price Payor:</w:t>
        <w:tab/>
        <w:tab/>
        <w:tab/>
      </w:r>
      <w:r>
        <w:rPr>
          <w:sz w:val="20"/>
        </w:rPr>
        <w:fldChar w:fldCharType="begin"/>
      </w:r>
      <w:r>
        <w:rPr>
          <w:sz w:val="20"/>
        </w:rPr>
        <w:instrText xml:space="preserve"> MERGEFIELD FloatPayerWCP </w:instrText>
      </w:r>
      <w:r>
        <w:rPr>
          <w:sz w:val="20"/>
        </w:rPr>
        <w:fldChar w:fldCharType="separate"/>
      </w:r>
      <w:r>
        <w:rPr>
          <w:sz w:val="20"/>
        </w:rPr>
        <w:t>Counterparty</w:t>
      </w:r>
      <w:r>
        <w:rPr>
          <w:sz w:val="20"/>
        </w:rPr>
        <w:fldChar w:fldCharType="end"/>
      </w:r>
    </w:p>
    <w:p>
      <w:pPr>
        <w:pStyle w:val="Normal"/>
        <w:rPr>
          <w:sz w:val="20"/>
        </w:rPr>
      </w:pPr>
      <w:r>
        <w:rPr>
          <w:sz w:val="20"/>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0"/>
              </w:rPr>
            </w:pPr>
            <w:r>
              <w:rPr>
                <w:sz w:val="20"/>
              </w:rPr>
              <w:t>Floating Price:</w:t>
            </w:r>
          </w:p>
        </w:tc>
        <w:tc>
          <w:tcPr>
            <w:tcW w:w="6102" w:type="dxa"/>
            <w:tcBorders/>
          </w:tcPr>
          <w:p>
            <w:pPr>
              <w:pStyle w:val="Normal"/>
              <w:jc w:val="both"/>
              <w:rPr>
                <w:sz w:val="20"/>
              </w:rPr>
            </w:pPr>
            <w:r>
              <w:rPr>
                <w:sz w:val="20"/>
              </w:rPr>
              <w:fldChar w:fldCharType="begin"/>
            </w:r>
            <w:r>
              <w:rPr>
                <w:sz w:val="20"/>
              </w:rPr>
              <w:instrText xml:space="preserve"> MERGEFIELD FloatPrice </w:instrText>
            </w:r>
            <w:r>
              <w:rPr>
                <w:sz w:val="20"/>
              </w:rPr>
              <w:fldChar w:fldCharType="separate"/>
            </w:r>
            <w:r>
              <w:rPr>
                <w:sz w:val="20"/>
              </w:rPr>
              <w:t>The AECO “C” Monthly Index, where:  “AECO “C” Monthly Index means the price in US Dollars per MMBtu published in the table “Monthly Canadian and U.S. natural gas price summary” in the Canadian Gas Price Reporter in the row for “Alberta Spot Price-AECO C/NIT (7A)” for the applicable Calculation Period</w:t>
            </w:r>
            <w:r>
              <w:rPr>
                <w:sz w:val="20"/>
              </w:rPr>
              <w:fldChar w:fldCharType="end"/>
            </w:r>
          </w:p>
        </w:tc>
      </w:tr>
      <w:tr>
        <w:trPr/>
        <w:tc>
          <w:tcPr>
            <w:tcW w:w="4338" w:type="dxa"/>
            <w:tcBorders/>
          </w:tcPr>
          <w:p>
            <w:pPr>
              <w:pStyle w:val="Normal"/>
              <w:rPr>
                <w:sz w:val="20"/>
              </w:rPr>
            </w:pPr>
            <w:r>
              <w:rPr>
                <w:sz w:val="20"/>
              </w:rPr>
              <w:t xml:space="preserve">           </w:t>
            </w:r>
            <w:r>
              <w:rPr>
                <w:sz w:val="20"/>
              </w:rPr>
              <w:fldChar w:fldCharType="begin"/>
            </w:r>
            <w:r>
              <w:rPr>
                <w:sz w:val="20"/>
              </w:rPr>
              <w:instrText xml:space="preserve"> MERGEFIELD AlternatePriceLit </w:instrText>
            </w:r>
            <w:r>
              <w:rPr>
                <w:sz w:val="20"/>
              </w:rPr>
              <w:fldChar w:fldCharType="separate"/>
            </w:r>
            <w:r>
              <w:rPr>
                <w:sz w:val="20"/>
              </w:rPr>
              <w:t xml:space="preserve"> </w:t>
            </w:r>
            <w:r>
              <w:rPr>
                <w:sz w:val="20"/>
              </w:rPr>
              <w:fldChar w:fldCharType="end"/>
            </w:r>
          </w:p>
        </w:tc>
        <w:tc>
          <w:tcPr>
            <w:tcW w:w="6102" w:type="dxa"/>
            <w:tcBorders/>
          </w:tcPr>
          <w:p>
            <w:pPr>
              <w:pStyle w:val="Normal"/>
              <w:jc w:val="both"/>
              <w:rPr>
                <w:sz w:val="20"/>
              </w:rPr>
            </w:pPr>
            <w:r>
              <w:rPr>
                <w:sz w:val="20"/>
              </w:rPr>
              <w:fldChar w:fldCharType="begin"/>
            </w:r>
            <w:r>
              <w:rPr>
                <w:sz w:val="20"/>
              </w:rPr>
              <w:instrText xml:space="preserve"> MERGEFIELD AlternatePrice </w:instrText>
            </w:r>
            <w:r>
              <w:rPr>
                <w:sz w:val="20"/>
              </w:rPr>
              <w:fldChar w:fldCharType="separate"/>
            </w:r>
            <w:r>
              <w:rPr>
                <w:sz w:val="20"/>
              </w:rPr>
              <w:t xml:space="preserve"> </w:t>
            </w:r>
            <w:r>
              <w:rPr>
                <w:sz w:val="20"/>
              </w:rPr>
              <w:fldChar w:fldCharType="end"/>
            </w:r>
          </w:p>
        </w:tc>
      </w:tr>
    </w:tbl>
    <w:p>
      <w:pPr>
        <w:pStyle w:val="Normal"/>
        <w:rPr>
          <w:sz w:val="20"/>
        </w:rPr>
      </w:pPr>
      <w:r>
        <w:rPr>
          <w:sz w:val="20"/>
        </w:rPr>
      </w:r>
    </w:p>
    <w:p>
      <w:pPr>
        <w:pStyle w:val="Normal"/>
        <w:rPr>
          <w:sz w:val="20"/>
        </w:rPr>
      </w:pPr>
      <w:r>
        <w:rPr>
          <w:sz w:val="20"/>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sz w:val="20"/>
              </w:rPr>
            </w:pPr>
            <w:r>
              <w:rPr>
                <w:sz w:val="20"/>
              </w:rPr>
            </w:r>
          </w:p>
          <w:p>
            <w:pPr>
              <w:pStyle w:val="Normal"/>
              <w:rPr>
                <w:sz w:val="20"/>
              </w:rPr>
            </w:pPr>
            <w:r>
              <w:rPr>
                <w:sz w:val="20"/>
              </w:rPr>
              <w:t xml:space="preserve">3.            </w:t>
            </w:r>
            <w:r>
              <w:rPr>
                <w:b/>
                <w:sz w:val="20"/>
                <w:u w:val="single"/>
              </w:rPr>
              <w:t>Account Details.</w:t>
            </w:r>
          </w:p>
        </w:tc>
        <w:tc>
          <w:tcPr>
            <w:tcW w:w="4428" w:type="dxa"/>
            <w:tcBorders/>
          </w:tcPr>
          <w:p>
            <w:pPr>
              <w:pStyle w:val="Normal"/>
              <w:snapToGrid w:val="false"/>
              <w:rPr>
                <w:sz w:val="20"/>
              </w:rPr>
            </w:pPr>
            <w:r>
              <w:rPr>
                <w:sz w:val="20"/>
              </w:rPr>
            </w:r>
          </w:p>
        </w:tc>
      </w:tr>
      <w:tr>
        <w:trPr/>
        <w:tc>
          <w:tcPr>
            <w:tcW w:w="4428" w:type="dxa"/>
            <w:tcBorders/>
          </w:tcPr>
          <w:p>
            <w:pPr>
              <w:pStyle w:val="Normal"/>
              <w:snapToGrid w:val="false"/>
              <w:rPr>
                <w:sz w:val="20"/>
              </w:rPr>
            </w:pPr>
            <w:r>
              <w:rPr>
                <w:sz w:val="20"/>
              </w:rPr>
            </w:r>
          </w:p>
        </w:tc>
        <w:tc>
          <w:tcPr>
            <w:tcW w:w="4428" w:type="dxa"/>
            <w:tcBorders/>
          </w:tcPr>
          <w:p>
            <w:pPr>
              <w:pStyle w:val="Normal"/>
              <w:snapToGrid w:val="false"/>
              <w:rPr>
                <w:sz w:val="20"/>
              </w:rPr>
            </w:pPr>
            <w:r>
              <w:rPr>
                <w:sz w:val="20"/>
              </w:rPr>
            </w:r>
          </w:p>
        </w:tc>
      </w:tr>
      <w:tr>
        <w:trPr/>
        <w:tc>
          <w:tcPr>
            <w:tcW w:w="4428" w:type="dxa"/>
            <w:tcBorders/>
          </w:tcPr>
          <w:p>
            <w:pPr>
              <w:pStyle w:val="Normal"/>
              <w:rPr>
                <w:sz w:val="20"/>
              </w:rPr>
            </w:pPr>
            <w:r>
              <w:rPr>
                <w:sz w:val="20"/>
              </w:rPr>
              <w:tab/>
            </w:r>
            <w:r>
              <w:rPr>
                <w:sz w:val="20"/>
                <w:u w:val="single"/>
              </w:rPr>
              <w:t>Payments to ENA:</w:t>
            </w:r>
          </w:p>
        </w:tc>
        <w:tc>
          <w:tcPr>
            <w:tcW w:w="4428" w:type="dxa"/>
            <w:tcBorders/>
          </w:tcPr>
          <w:p>
            <w:pPr>
              <w:pStyle w:val="Normal"/>
              <w:snapToGrid w:val="false"/>
              <w:rPr>
                <w:sz w:val="20"/>
              </w:rPr>
            </w:pPr>
            <w:r>
              <w:rPr>
                <w:sz w:val="20"/>
              </w:rPr>
            </w:r>
          </w:p>
        </w:tc>
      </w:tr>
      <w:tr>
        <w:trPr/>
        <w:tc>
          <w:tcPr>
            <w:tcW w:w="4428" w:type="dxa"/>
            <w:tcBorders/>
          </w:tcPr>
          <w:p>
            <w:pPr>
              <w:pStyle w:val="Normal"/>
              <w:snapToGrid w:val="false"/>
              <w:rPr>
                <w:sz w:val="20"/>
              </w:rPr>
            </w:pPr>
            <w:r>
              <w:rPr>
                <w:sz w:val="20"/>
              </w:rPr>
            </w:r>
          </w:p>
        </w:tc>
        <w:tc>
          <w:tcPr>
            <w:tcW w:w="4428" w:type="dxa"/>
            <w:tcBorders/>
          </w:tcPr>
          <w:p>
            <w:pPr>
              <w:pStyle w:val="Normal"/>
              <w:snapToGrid w:val="false"/>
              <w:rPr>
                <w:sz w:val="20"/>
              </w:rPr>
            </w:pPr>
            <w:r>
              <w:rPr>
                <w:sz w:val="20"/>
              </w:rPr>
            </w:r>
          </w:p>
        </w:tc>
      </w:tr>
    </w:tbl>
    <w:p>
      <w:pPr>
        <w:pStyle w:val="Normal"/>
        <w:rPr>
          <w:sz w:val="20"/>
        </w:rPr>
      </w:pPr>
      <w:r>
        <w:rPr>
          <w:sz w:val="20"/>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sz w:val="20"/>
              </w:rPr>
            </w:pPr>
            <w:r>
              <w:rPr>
                <w:sz w:val="20"/>
              </w:rPr>
              <w:t xml:space="preserve">Pay  </w:t>
            </w:r>
          </w:p>
        </w:tc>
        <w:tc>
          <w:tcPr>
            <w:tcW w:w="5490" w:type="dxa"/>
            <w:gridSpan w:val="2"/>
            <w:tcBorders/>
          </w:tcPr>
          <w:p>
            <w:pPr>
              <w:pStyle w:val="Normal"/>
              <w:tabs>
                <w:tab w:val="clear" w:pos="720"/>
                <w:tab w:val="left" w:pos="360" w:leader="none"/>
              </w:tabs>
              <w:ind w:hanging="360" w:start="360" w:end="0"/>
              <w:rPr>
                <w:sz w:val="20"/>
              </w:rPr>
            </w:pPr>
            <w:r>
              <w:rPr>
                <w:sz w:val="20"/>
              </w:rPr>
              <w:t>:</w:t>
              <w:tab/>
              <w:t>Bank of America, N.A.</w:t>
            </w:r>
          </w:p>
        </w:tc>
      </w:tr>
      <w:tr>
        <w:trPr/>
        <w:tc>
          <w:tcPr>
            <w:tcW w:w="5490" w:type="dxa"/>
            <w:tcBorders/>
          </w:tcPr>
          <w:p>
            <w:pPr>
              <w:pStyle w:val="Normal"/>
              <w:snapToGrid w:val="false"/>
              <w:ind w:hanging="2160"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For the Account of</w:t>
            </w:r>
          </w:p>
        </w:tc>
        <w:tc>
          <w:tcPr>
            <w:tcW w:w="5490" w:type="dxa"/>
            <w:gridSpan w:val="2"/>
            <w:tcBorders/>
          </w:tcPr>
          <w:p>
            <w:pPr>
              <w:pStyle w:val="Normal"/>
              <w:tabs>
                <w:tab w:val="clear" w:pos="720"/>
                <w:tab w:val="left" w:pos="360" w:leader="none"/>
              </w:tabs>
              <w:ind w:hanging="360" w:start="360" w:end="0"/>
              <w:rPr>
                <w:sz w:val="20"/>
              </w:rPr>
            </w:pPr>
            <w:r>
              <w:rPr>
                <w:sz w:val="20"/>
              </w:rPr>
              <w:t>:</w:t>
              <w:tab/>
              <w:t>Enron North America Corp.</w:t>
            </w:r>
          </w:p>
        </w:tc>
      </w:tr>
      <w:tr>
        <w:trPr/>
        <w:tc>
          <w:tcPr>
            <w:tcW w:w="5490" w:type="dxa"/>
            <w:tcBorders/>
          </w:tcPr>
          <w:p>
            <w:pPr>
              <w:pStyle w:val="Normal"/>
              <w:snapToGrid w:val="false"/>
              <w:ind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Account Number/</w:t>
            </w:r>
          </w:p>
          <w:p>
            <w:pPr>
              <w:pStyle w:val="Normal"/>
              <w:ind w:start="2862" w:end="0"/>
              <w:rPr>
                <w:sz w:val="20"/>
              </w:rPr>
            </w:pPr>
            <w:r>
              <w:rPr>
                <w:sz w:val="20"/>
              </w:rPr>
              <w:t>CHIPS UID</w:t>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p>
            <w:pPr>
              <w:pStyle w:val="Normal"/>
              <w:tabs>
                <w:tab w:val="clear" w:pos="720"/>
                <w:tab w:val="left" w:pos="360" w:leader="none"/>
              </w:tabs>
              <w:ind w:hanging="360" w:start="360" w:end="0"/>
              <w:rPr>
                <w:sz w:val="20"/>
              </w:rPr>
            </w:pPr>
            <w:r>
              <w:rPr>
                <w:sz w:val="20"/>
              </w:rPr>
              <w:t>:</w:t>
              <w:tab/>
              <w:t>3750494727</w:t>
            </w:r>
          </w:p>
        </w:tc>
      </w:tr>
      <w:tr>
        <w:trPr/>
        <w:tc>
          <w:tcPr>
            <w:tcW w:w="5490" w:type="dxa"/>
            <w:tcBorders/>
          </w:tcPr>
          <w:p>
            <w:pPr>
              <w:pStyle w:val="Normal"/>
              <w:snapToGrid w:val="false"/>
              <w:ind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Fed. ABA No.</w:t>
            </w:r>
          </w:p>
        </w:tc>
        <w:tc>
          <w:tcPr>
            <w:tcW w:w="5490" w:type="dxa"/>
            <w:gridSpan w:val="2"/>
            <w:tcBorders/>
          </w:tcPr>
          <w:p>
            <w:pPr>
              <w:pStyle w:val="Normal"/>
              <w:tabs>
                <w:tab w:val="clear" w:pos="720"/>
                <w:tab w:val="left" w:pos="360" w:leader="none"/>
              </w:tabs>
              <w:ind w:hanging="360" w:start="360" w:end="0"/>
              <w:rPr>
                <w:sz w:val="20"/>
              </w:rPr>
            </w:pPr>
            <w:r>
              <w:rPr>
                <w:sz w:val="20"/>
              </w:rPr>
              <w:t>:</w:t>
              <w:tab/>
              <w:t>111000012</w:t>
            </w:r>
          </w:p>
        </w:tc>
      </w:tr>
      <w:tr>
        <w:trPr/>
        <w:tc>
          <w:tcPr>
            <w:tcW w:w="5499" w:type="dxa"/>
            <w:gridSpan w:val="2"/>
            <w:tcBorders/>
          </w:tcPr>
          <w:p>
            <w:pPr>
              <w:pStyle w:val="Normal"/>
              <w:snapToGrid w:val="false"/>
              <w:ind w:firstLine="90" w:start="2862" w:end="0"/>
              <w:rPr>
                <w:sz w:val="20"/>
              </w:rPr>
            </w:pPr>
            <w:r>
              <w:rPr>
                <w:sz w:val="20"/>
              </w:rPr>
            </w:r>
          </w:p>
        </w:tc>
        <w:tc>
          <w:tcPr>
            <w:tcW w:w="5499" w:type="dxa"/>
            <w:tcBorders/>
          </w:tcPr>
          <w:p>
            <w:pPr>
              <w:pStyle w:val="Normal"/>
              <w:snapToGrid w:val="false"/>
              <w:rPr>
                <w:sz w:val="20"/>
              </w:rPr>
            </w:pPr>
            <w:r>
              <w:rPr>
                <w:sz w:val="20"/>
              </w:rPr>
            </w:r>
          </w:p>
        </w:tc>
      </w:tr>
      <w:tr>
        <w:trPr/>
        <w:tc>
          <w:tcPr>
            <w:tcW w:w="5499" w:type="dxa"/>
            <w:gridSpan w:val="2"/>
            <w:tcBorders/>
          </w:tcPr>
          <w:p>
            <w:pPr>
              <w:pStyle w:val="Normal"/>
              <w:keepNext w:val="true"/>
              <w:ind w:hanging="2160" w:start="2862" w:end="0"/>
              <w:rPr>
                <w:sz w:val="20"/>
              </w:rPr>
            </w:pPr>
            <w:r>
              <w:rPr>
                <w:sz w:val="20"/>
              </w:rPr>
              <w:tab/>
            </w:r>
            <w:r>
              <w:rPr>
                <w:sz w:val="20"/>
                <w:u w:val="single"/>
              </w:rPr>
              <w:t>Payments to Counterparty:</w:t>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snapToGrid w:val="false"/>
              <w:ind w:hanging="2160" w:start="2862" w:end="0"/>
              <w:rPr>
                <w:sz w:val="20"/>
              </w:rPr>
            </w:pPr>
            <w:r>
              <w:rPr>
                <w:sz w:val="20"/>
              </w:rPr>
            </w:r>
          </w:p>
        </w:tc>
        <w:tc>
          <w:tcPr>
            <w:tcW w:w="5499" w:type="dxa"/>
            <w:tcBorders/>
          </w:tcPr>
          <w:p>
            <w:pPr>
              <w:pStyle w:val="Normal"/>
              <w:keepNext w:val="true"/>
              <w:snapToGrid w:val="false"/>
              <w:rPr>
                <w:sz w:val="20"/>
              </w:rPr>
            </w:pPr>
            <w:r>
              <w:rPr>
                <w:sz w:val="20"/>
              </w:rPr>
            </w:r>
          </w:p>
        </w:tc>
      </w:tr>
      <w:tr>
        <w:trPr/>
        <w:tc>
          <w:tcPr>
            <w:tcW w:w="5490" w:type="dxa"/>
            <w:tcBorders/>
          </w:tcPr>
          <w:p>
            <w:pPr>
              <w:pStyle w:val="Normal"/>
              <w:keepNext w:val="true"/>
              <w:ind w:start="2862" w:end="0"/>
              <w:rPr>
                <w:sz w:val="20"/>
              </w:rPr>
            </w:pPr>
            <w:r>
              <w:rPr>
                <w:sz w:val="20"/>
              </w:rPr>
              <w:t xml:space="preserve">Pay  </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hanging="2160"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For the Account of</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Account Number/</w:t>
            </w:r>
          </w:p>
          <w:p>
            <w:pPr>
              <w:pStyle w:val="Normal"/>
              <w:keepNext w:val="true"/>
              <w:ind w:start="2862" w:end="0"/>
              <w:rPr>
                <w:sz w:val="20"/>
              </w:rPr>
            </w:pPr>
            <w:r>
              <w:rPr>
                <w:sz w:val="20"/>
              </w:rPr>
              <w:t>CHIPS UID</w:t>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Fed. ABA No.</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9" w:type="dxa"/>
            <w:gridSpan w:val="2"/>
            <w:tcBorders/>
          </w:tcPr>
          <w:p>
            <w:pPr>
              <w:pStyle w:val="Normal"/>
              <w:keepNext w:val="true"/>
              <w:snapToGrid w:val="false"/>
              <w:ind w:firstLine="90" w:start="2862" w:end="0"/>
              <w:rPr>
                <w:sz w:val="20"/>
              </w:rPr>
            </w:pPr>
            <w:r>
              <w:rPr>
                <w:sz w:val="20"/>
              </w:rPr>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ind w:hanging="2160" w:start="2862" w:end="0"/>
              <w:rPr>
                <w:sz w:val="20"/>
              </w:rPr>
            </w:pPr>
            <w:r>
              <w:rPr>
                <w:sz w:val="20"/>
              </w:rPr>
              <w:tab/>
              <w:t xml:space="preserve">Attn:  </w:t>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snapToGrid w:val="false"/>
              <w:ind w:hanging="2160" w:start="2862" w:end="0"/>
              <w:rPr>
                <w:sz w:val="20"/>
              </w:rPr>
            </w:pPr>
            <w:r>
              <w:rPr>
                <w:sz w:val="20"/>
              </w:rPr>
            </w:r>
          </w:p>
        </w:tc>
        <w:tc>
          <w:tcPr>
            <w:tcW w:w="5499" w:type="dxa"/>
            <w:tcBorders/>
          </w:tcPr>
          <w:p>
            <w:pPr>
              <w:pStyle w:val="Normal"/>
              <w:keepNext w:val="true"/>
              <w:snapToGrid w:val="false"/>
              <w:rPr>
                <w:sz w:val="20"/>
              </w:rPr>
            </w:pPr>
            <w:r>
              <w:rPr>
                <w:sz w:val="20"/>
              </w:rPr>
            </w:r>
          </w:p>
        </w:tc>
      </w:tr>
    </w:tbl>
    <w:p>
      <w:pPr>
        <w:pStyle w:val="Normal"/>
        <w:jc w:val="both"/>
        <w:rPr>
          <w:sz w:val="20"/>
        </w:rPr>
      </w:pPr>
      <w:r>
        <w:rPr>
          <w:sz w:val="20"/>
        </w:rPr>
      </w:r>
    </w:p>
    <w:p>
      <w:pPr>
        <w:pStyle w:val="Normal"/>
        <w:jc w:val="both"/>
        <w:rPr/>
      </w:pPr>
      <w:r>
        <w:rPr>
          <w:sz w:val="20"/>
        </w:rPr>
        <w:t>4.</w:t>
        <w:tab/>
      </w:r>
      <w:r>
        <w:rPr>
          <w:b/>
          <w:sz w:val="20"/>
          <w:u w:val="single"/>
        </w:rPr>
        <w:t>General</w:t>
      </w:r>
      <w:r>
        <w:rPr>
          <w:b/>
          <w:sz w:val="20"/>
        </w:rPr>
        <w:t>.</w:t>
      </w:r>
      <w:r>
        <w:rPr>
          <w:sz w:val="20"/>
        </w:rPr>
        <w:t xml:space="preserve">  The Transaction is subject to the terms and conditions of the 1992 Master Agreement (Multicurrency-Cross Border)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if applicable,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sz w:val="20"/>
        </w:rPr>
      </w:pPr>
      <w:r>
        <w:rPr>
          <w:sz w:val="20"/>
        </w:rPr>
      </w:r>
    </w:p>
    <w:p>
      <w:pPr>
        <w:pStyle w:val="Normal"/>
        <w:jc w:val="both"/>
        <w:rPr>
          <w:sz w:val="20"/>
        </w:rPr>
      </w:pPr>
      <w:r>
        <w:rPr>
          <w:sz w:val="20"/>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sz w:val="20"/>
        </w:rPr>
      </w:pPr>
      <w:r>
        <w:rPr>
          <w:sz w:val="20"/>
        </w:rPr>
      </w:r>
    </w:p>
    <w:p>
      <w:pPr>
        <w:pStyle w:val="Normal"/>
        <w:tabs>
          <w:tab w:val="clear" w:pos="720"/>
          <w:tab w:val="left" w:pos="360" w:leader="none"/>
        </w:tabs>
        <w:jc w:val="both"/>
        <w:rPr/>
      </w:pPr>
      <w:r>
        <w:rPr>
          <w:sz w:val="20"/>
        </w:rPr>
        <w:t>5.</w:t>
      </w:r>
      <w:r>
        <w:rPr>
          <w:b/>
          <w:sz w:val="20"/>
        </w:rPr>
        <w:tab/>
        <w:tab/>
      </w:r>
      <w:r>
        <w:rPr>
          <w:b/>
          <w:sz w:val="20"/>
          <w:u w:val="single"/>
        </w:rPr>
        <w:t>Representations</w:t>
      </w:r>
      <w:r>
        <w:rPr>
          <w:b/>
          <w:sz w:val="20"/>
        </w:rPr>
        <w:t>.</w:t>
      </w:r>
      <w:r>
        <w:rPr>
          <w:sz w:val="20"/>
        </w:rPr>
        <w:t xml:space="preserve">  To induce the other to enter into the Transaction, each party represents and warrants to the other that: (a) </w:t>
      </w:r>
      <w:r>
        <w:rPr>
          <w:sz w:val="20"/>
          <w:u w:val="single"/>
        </w:rPr>
        <w:t>Authority</w:t>
      </w:r>
      <w:r>
        <w:rPr>
          <w:sz w:val="20"/>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sz w:val="20"/>
          <w:u w:val="single"/>
        </w:rPr>
        <w:t>Eligibility</w:t>
      </w:r>
      <w:r>
        <w:rPr>
          <w:sz w:val="20"/>
        </w:rPr>
        <w:t xml:space="preserve">:  (i) It constitutes an “eligible contract participant” as such term is defined in the Commodity Exchange Act, as amended 7 U.S.C. §1a(12) and (ii) it constitutes an “eligible commercial entity” as such term is defined in the Commodity Exchange Act, as amended 7 U.S.C. §1a(11) and (c) </w:t>
      </w:r>
      <w:r>
        <w:rPr>
          <w:sz w:val="20"/>
          <w:u w:val="single"/>
        </w:rPr>
        <w:t>No Reliance and No Advisory Status</w:t>
      </w:r>
      <w:r>
        <w:rPr>
          <w:sz w:val="20"/>
        </w:rPr>
        <w:t>: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w:t>
      </w:r>
      <w:r>
        <w:rPr>
          <w:color w:val="800080"/>
          <w:sz w:val="20"/>
        </w:rPr>
        <w:t xml:space="preserve"> </w:t>
      </w:r>
      <w:r>
        <w:rPr>
          <w:sz w:val="20"/>
          <w:u w:val="single"/>
        </w:rPr>
        <w:t>Tax Representations and Covenants</w:t>
      </w:r>
      <w:r>
        <w:rPr>
          <w:sz w:val="20"/>
        </w:rPr>
        <w:t xml:space="preserve">:  for purposes of Section 3(e) and 3(f) of the ISDA Agreement, each of the parties makes the representations applicable to it as set forth in Sections I(a) and (b) of </w:t>
      </w:r>
      <w:r>
        <w:rPr>
          <w:sz w:val="20"/>
          <w:u w:val="single"/>
        </w:rPr>
        <w:t>Annex A</w:t>
      </w:r>
      <w:r>
        <w:rPr>
          <w:sz w:val="20"/>
        </w:rPr>
        <w:t xml:space="preserve"> to this Confirmation as of the Trade Date and as of the date of this Confirmation and in the case of the representations given for purposes of Section 3(f) of the ISDA Agreement (which representations are set forth in Section I(b) of </w:t>
      </w:r>
      <w:r>
        <w:rPr>
          <w:sz w:val="20"/>
          <w:u w:val="single"/>
        </w:rPr>
        <w:t>Annex A</w:t>
      </w:r>
      <w:r>
        <w:rPr>
          <w:sz w:val="20"/>
        </w:rPr>
        <w:t xml:space="preserve">), at all times until termination of the Transaction.  In addition, each party covenants and agrees that it will deliver to the other party the Tax forms, documents or certificates as required pursuant to Section II(a) of </w:t>
      </w:r>
      <w:r>
        <w:rPr>
          <w:sz w:val="20"/>
          <w:u w:val="single"/>
        </w:rPr>
        <w:t>Annex A</w:t>
      </w:r>
      <w:r>
        <w:rPr>
          <w:sz w:val="20"/>
        </w:rPr>
        <w:t>.</w:t>
      </w:r>
    </w:p>
    <w:p>
      <w:pPr>
        <w:pStyle w:val="Normal"/>
        <w:jc w:val="both"/>
        <w:rPr>
          <w:sz w:val="20"/>
        </w:rPr>
      </w:pPr>
      <w:r>
        <w:rPr>
          <w:sz w:val="20"/>
        </w:rPr>
      </w:r>
    </w:p>
    <w:p>
      <w:pPr>
        <w:pStyle w:val="Normal"/>
        <w:jc w:val="both"/>
        <w:rPr/>
      </w:pPr>
      <w:r>
        <w:rPr>
          <w:sz w:val="20"/>
        </w:rPr>
        <w:t>6.</w:t>
        <w:tab/>
      </w:r>
      <w:r>
        <w:rPr>
          <w:b/>
          <w:sz w:val="20"/>
          <w:u w:val="single"/>
        </w:rPr>
        <w:t>Early Termination</w:t>
      </w:r>
      <w:r>
        <w:rPr>
          <w:b/>
          <w:sz w:val="20"/>
        </w:rPr>
        <w:t>.</w:t>
      </w:r>
      <w:r>
        <w:rPr>
          <w:sz w:val="20"/>
        </w:rPr>
        <w:t xml:space="preserve">  For purposes of Section 6(e) of the ISDA Agreement, the Second Method and Loss shall apply.</w:t>
      </w:r>
    </w:p>
    <w:p>
      <w:pPr>
        <w:pStyle w:val="Normal"/>
        <w:jc w:val="both"/>
        <w:rPr>
          <w:sz w:val="20"/>
        </w:rPr>
      </w:pPr>
      <w:r>
        <w:rPr>
          <w:sz w:val="20"/>
        </w:rPr>
      </w:r>
    </w:p>
    <w:p>
      <w:pPr>
        <w:pStyle w:val="Normal"/>
        <w:jc w:val="both"/>
        <w:rPr/>
      </w:pPr>
      <w:r>
        <w:rPr>
          <w:sz w:val="20"/>
        </w:rPr>
        <w:t>7.</w:t>
        <w:tab/>
      </w:r>
      <w:r>
        <w:rPr>
          <w:b/>
          <w:sz w:val="20"/>
          <w:u w:val="single"/>
        </w:rPr>
        <w:t>Governing Law/Jurisdiction</w:t>
      </w:r>
      <w:r>
        <w:rPr>
          <w:b/>
          <w:sz w:val="20"/>
        </w:rPr>
        <w:t>.</w:t>
      </w:r>
      <w:r>
        <w:rPr>
          <w:sz w:val="20"/>
        </w:rPr>
        <w:t xml:space="preserve">  This Confirmation and the ISDA Agreement will be governed by and construed in accordance with the laws of the State of Texas (without reference to choice of law doctrine).  Section 13(b) of the ISDA Agreement is replaced with the following:  “(b)  Jurisdiction.  Any dispute relating to this Confirmation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and the ISDA Agreement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Houston, Texas, and such arbitration, and any related award shall be confidential.”</w:t>
      </w:r>
    </w:p>
    <w:p>
      <w:pPr>
        <w:pStyle w:val="Normal"/>
        <w:jc w:val="both"/>
        <w:rPr>
          <w:sz w:val="20"/>
        </w:rPr>
      </w:pPr>
      <w:r>
        <w:rPr>
          <w:sz w:val="20"/>
        </w:rPr>
      </w:r>
    </w:p>
    <w:p>
      <w:pPr>
        <w:pStyle w:val="Normal"/>
        <w:jc w:val="both"/>
        <w:rPr/>
      </w:pPr>
      <w:r>
        <w:rPr>
          <w:sz w:val="20"/>
        </w:rPr>
        <w:t>8.</w:t>
        <w:tab/>
      </w:r>
      <w:r>
        <w:rPr>
          <w:b/>
          <w:sz w:val="20"/>
          <w:u w:val="single"/>
        </w:rPr>
        <w:t>Confidentiality</w:t>
      </w:r>
      <w:r>
        <w:rPr>
          <w:b/>
          <w:sz w:val="20"/>
        </w:rPr>
        <w:t>.</w:t>
      </w:r>
      <w:r>
        <w:rPr>
          <w:sz w:val="20"/>
        </w:rPr>
        <w:t xml:space="preserve">  The contents of this Confirmation, the Transactions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sz w:val="20"/>
        </w:rPr>
      </w:pPr>
      <w:r>
        <w:rPr>
          <w:sz w:val="20"/>
        </w:rPr>
      </w:r>
    </w:p>
    <w:p>
      <w:pPr>
        <w:pStyle w:val="Normal"/>
        <w:jc w:val="both"/>
        <w:rPr/>
      </w:pPr>
      <w:r>
        <w:rPr>
          <w:sz w:val="20"/>
        </w:rPr>
        <w:t>9.</w:t>
        <w:tab/>
      </w:r>
      <w:r>
        <w:rPr>
          <w:b/>
          <w:sz w:val="20"/>
          <w:u w:val="single"/>
        </w:rPr>
        <w:t>Calculation Agent</w:t>
      </w:r>
      <w:r>
        <w:rPr>
          <w:b/>
          <w:sz w:val="20"/>
        </w:rPr>
        <w:t>.</w:t>
      </w:r>
      <w:r>
        <w:rPr>
          <w:sz w:val="20"/>
        </w:rPr>
        <w:t xml:space="preserve">  The Calculation Agent shall be ENA.</w:t>
      </w:r>
    </w:p>
    <w:p>
      <w:pPr>
        <w:pStyle w:val="Normal"/>
        <w:jc w:val="both"/>
        <w:rPr>
          <w:sz w:val="20"/>
        </w:rPr>
      </w:pPr>
      <w:r>
        <w:rPr>
          <w:sz w:val="20"/>
        </w:rPr>
      </w:r>
    </w:p>
    <w:p>
      <w:pPr>
        <w:pStyle w:val="Normal"/>
        <w:tabs>
          <w:tab w:val="clear" w:pos="720"/>
          <w:tab w:val="left" w:pos="810" w:leader="none"/>
          <w:tab w:val="left" w:pos="1170" w:leader="none"/>
        </w:tabs>
        <w:jc w:val="both"/>
        <w:rPr/>
      </w:pPr>
      <w:r>
        <w:rPr>
          <w:sz w:val="20"/>
        </w:rPr>
        <w:t>10.</w:t>
        <w:tab/>
      </w:r>
      <w:r>
        <w:rPr>
          <w:b/>
          <w:sz w:val="20"/>
          <w:u w:val="single"/>
        </w:rPr>
        <w:t>Limitation of Liability</w:t>
      </w:r>
      <w:r>
        <w:rPr>
          <w:b/>
          <w:sz w:val="20"/>
        </w:rPr>
        <w:t xml:space="preserve">. </w:t>
      </w:r>
      <w:r>
        <w:rPr>
          <w:sz w:val="20"/>
        </w:rPr>
        <w:t xml:space="preserve">  </w:t>
      </w:r>
      <w:r>
        <w:rPr>
          <w:b/>
          <w:caps/>
          <w:sz w:val="20"/>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 </w:t>
      </w:r>
      <w:r>
        <w:rPr>
          <w:sz w:val="20"/>
        </w:rPr>
        <w:t xml:space="preserve"> </w:t>
      </w:r>
    </w:p>
    <w:p>
      <w:pPr>
        <w:pStyle w:val="Normal"/>
        <w:rPr>
          <w:sz w:val="20"/>
        </w:rPr>
      </w:pPr>
      <w:r>
        <w:rPr>
          <w:sz w:val="20"/>
        </w:rPr>
      </w:r>
    </w:p>
    <w:p>
      <w:pPr>
        <w:pStyle w:val="Normal"/>
        <w:jc w:val="both"/>
        <w:rPr/>
      </w:pPr>
      <w:r>
        <w:rPr>
          <w:sz w:val="20"/>
        </w:rPr>
        <w:t>11.</w:t>
        <w:tab/>
      </w:r>
      <w:r>
        <w:rPr>
          <w:b/>
          <w:sz w:val="20"/>
          <w:u w:val="single"/>
        </w:rPr>
        <w:t>Setoff</w:t>
      </w:r>
      <w:r>
        <w:rPr>
          <w:b/>
          <w:sz w:val="20"/>
        </w:rPr>
        <w:t>.</w:t>
      </w:r>
      <w:r>
        <w:rPr>
          <w:sz w:val="20"/>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otherwise, any amounts owed in Dollars or any other currency by Y to X or any of its Affiliates (irrespective of place of payment or booking office of the obligation) under this Confirmation and the ISDA Agreement or otherwise.  The obligations of Y and X under this Confirmation and the ISDA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sz w:val="20"/>
        </w:rPr>
      </w:pPr>
      <w:r>
        <w:rPr>
          <w:sz w:val="20"/>
        </w:rPr>
      </w:r>
    </w:p>
    <w:p>
      <w:pPr>
        <w:pStyle w:val="Normal"/>
        <w:ind w:firstLine="720" w:end="0"/>
        <w:jc w:val="both"/>
        <w:rPr>
          <w:sz w:val="20"/>
        </w:rPr>
      </w:pPr>
      <w:r>
        <w:rPr>
          <w:sz w:val="20"/>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otherwise which are due and payable as of the Early Termination Date hereof have been fully and finally performed.</w:t>
      </w:r>
    </w:p>
    <w:p>
      <w:pPr>
        <w:pStyle w:val="Normal"/>
        <w:rPr>
          <w:sz w:val="20"/>
        </w:rPr>
      </w:pPr>
      <w:r>
        <w:rPr>
          <w:sz w:val="20"/>
        </w:rPr>
      </w:r>
    </w:p>
    <w:p>
      <w:pPr>
        <w:pStyle w:val="Normal"/>
        <w:jc w:val="both"/>
        <w:rPr/>
      </w:pPr>
      <w:r>
        <w:rPr>
          <w:sz w:val="20"/>
        </w:rPr>
        <w:t>12.</w:t>
        <w:tab/>
      </w:r>
      <w:r>
        <w:rPr>
          <w:b/>
          <w:sz w:val="20"/>
          <w:u w:val="single"/>
        </w:rPr>
        <w:t>Termination Currency.</w:t>
      </w:r>
      <w:r>
        <w:rPr>
          <w:sz w:val="20"/>
        </w:rPr>
        <w:t xml:space="preserve">  The Termination Currency shall be U.S. Dollars.</w:t>
      </w:r>
    </w:p>
    <w:p>
      <w:pPr>
        <w:pStyle w:val="Normal"/>
        <w:jc w:val="both"/>
        <w:rPr>
          <w:sz w:val="20"/>
        </w:rPr>
      </w:pPr>
      <w:r>
        <w:rPr>
          <w:sz w:val="20"/>
        </w:rPr>
      </w:r>
    </w:p>
    <w:p>
      <w:pPr>
        <w:pStyle w:val="Normal"/>
        <w:jc w:val="both"/>
        <w:rPr/>
      </w:pPr>
      <w:r>
        <w:rPr>
          <w:sz w:val="20"/>
        </w:rPr>
        <w:t>13.</w:t>
        <w:tab/>
      </w:r>
      <w:r>
        <w:rPr>
          <w:b/>
          <w:sz w:val="20"/>
          <w:u w:val="single"/>
        </w:rPr>
        <w:t>Miscellaneous</w:t>
      </w:r>
      <w:r>
        <w:rPr>
          <w:b/>
          <w:sz w:val="20"/>
        </w:rPr>
        <w:t>.</w:t>
      </w:r>
    </w:p>
    <w:p>
      <w:pPr>
        <w:pStyle w:val="Normal"/>
        <w:jc w:val="both"/>
        <w:rPr>
          <w:b/>
          <w:sz w:val="20"/>
          <w:u w:val="single"/>
        </w:rPr>
      </w:pPr>
      <w:r>
        <w:rPr>
          <w:b/>
          <w:sz w:val="20"/>
          <w:u w:val="single"/>
        </w:rPr>
      </w:r>
    </w:p>
    <w:p>
      <w:pPr>
        <w:pStyle w:val="Normal"/>
        <w:jc w:val="both"/>
        <w:rPr/>
      </w:pPr>
      <w:r>
        <w:rPr>
          <w:sz w:val="20"/>
        </w:rPr>
        <w:t>a)</w:t>
      </w:r>
      <w:r>
        <w:rPr>
          <w:b/>
          <w:sz w:val="20"/>
        </w:rPr>
        <w:t xml:space="preserve"> </w:t>
      </w:r>
      <w:r>
        <w:rPr>
          <w:b/>
          <w:sz w:val="20"/>
          <w:u w:val="single"/>
        </w:rPr>
        <w:t>Additional Representations.</w:t>
      </w:r>
      <w:r>
        <w:rPr>
          <w:sz w:val="20"/>
        </w:rPr>
        <w:t xml:space="preserve"> For the purpose of Section 3 of the ISDA Agreement, Counterparty further represents and warrants to ENA (which representations will be deemed repeated by Counterparty at all times until the termination of the Transaction) that:</w:t>
      </w:r>
    </w:p>
    <w:p>
      <w:pPr>
        <w:pStyle w:val="Normal"/>
        <w:jc w:val="both"/>
        <w:rPr>
          <w:color w:val="FF0000"/>
          <w:sz w:val="20"/>
        </w:rPr>
      </w:pPr>
      <w:r>
        <w:rPr>
          <w:color w:val="FF0000"/>
          <w:sz w:val="20"/>
        </w:rPr>
      </w:r>
    </w:p>
    <w:p>
      <w:pPr>
        <w:pStyle w:val="Normal"/>
        <w:numPr>
          <w:ilvl w:val="0"/>
          <w:numId w:val="3"/>
        </w:numPr>
        <w:jc w:val="both"/>
        <w:rPr>
          <w:sz w:val="20"/>
        </w:rPr>
      </w:pPr>
      <w:r>
        <w:rPr>
          <w:sz w:val="20"/>
        </w:rPr>
        <w:t>this Agreement and any Transaction hereunder do not constitute any kind of investment by Party B that is proscribed by any Investment Policy, limitation or restriction to which Party B is subject; and</w:t>
      </w:r>
    </w:p>
    <w:p>
      <w:pPr>
        <w:pStyle w:val="Normal"/>
        <w:ind w:start="720" w:end="0"/>
        <w:jc w:val="both"/>
        <w:rPr>
          <w:sz w:val="20"/>
        </w:rPr>
      </w:pPr>
      <w:r>
        <w:rPr>
          <w:sz w:val="20"/>
        </w:rPr>
      </w:r>
    </w:p>
    <w:p>
      <w:pPr>
        <w:pStyle w:val="Normal"/>
        <w:ind w:hanging="720" w:start="1440" w:end="0"/>
        <w:jc w:val="both"/>
        <w:rPr>
          <w:sz w:val="20"/>
        </w:rPr>
      </w:pPr>
      <w:r>
        <w:rPr>
          <w:sz w:val="20"/>
        </w:rPr>
        <w:t>(ii)</w:t>
        <w:tab/>
        <w:t>it is not any employee benefit plan subject to the Employee Retirement Income Security Act of 1974 (“ERISA”), is not acting on behalf of an employee benefit plan subject to ERISA, and is not using assets which are or which are deemed under ERISA to be assets of an employee benefit.</w:t>
      </w:r>
    </w:p>
    <w:p>
      <w:pPr>
        <w:pStyle w:val="Normal"/>
        <w:rPr>
          <w:sz w:val="20"/>
        </w:rPr>
      </w:pPr>
      <w:r>
        <w:rPr>
          <w:sz w:val="20"/>
        </w:rPr>
      </w:r>
    </w:p>
    <w:p>
      <w:pPr>
        <w:pStyle w:val="Normal"/>
        <w:rPr/>
      </w:pPr>
      <w:r>
        <w:rPr>
          <w:sz w:val="20"/>
        </w:rPr>
        <w:t xml:space="preserve">b) </w:t>
      </w:r>
      <w:r>
        <w:rPr>
          <w:b/>
          <w:sz w:val="20"/>
          <w:u w:val="single"/>
        </w:rPr>
        <w:t>Legal Opinion.</w:t>
      </w:r>
      <w:r>
        <w:rPr>
          <w:sz w:val="20"/>
        </w:rPr>
        <w:t xml:space="preserve"> For the purpose of Section 4(a) of the ISDA Agreement, upon execution of this Confirmation, Counterparty agrees to deliver to ENA a Legal Opinion in substantially the form attached hereto as Exhibit 1.</w:t>
      </w:r>
    </w:p>
    <w:p>
      <w:pPr>
        <w:pStyle w:val="Normal"/>
        <w:jc w:val="both"/>
        <w:rPr>
          <w:color w:val="FF0000"/>
          <w:sz w:val="20"/>
        </w:rPr>
      </w:pPr>
      <w:r>
        <w:rPr>
          <w:color w:val="FF0000"/>
          <w:sz w:val="20"/>
        </w:rPr>
      </w:r>
    </w:p>
    <w:p>
      <w:pPr>
        <w:pStyle w:val="Normal"/>
        <w:jc w:val="both"/>
        <w:rPr/>
      </w:pPr>
      <w:r>
        <w:rPr>
          <w:sz w:val="20"/>
        </w:rPr>
        <w:t>c)</w:t>
      </w:r>
      <w:r>
        <w:rPr>
          <w:b/>
          <w:sz w:val="20"/>
        </w:rPr>
        <w:t xml:space="preserve"> </w:t>
      </w:r>
      <w:r>
        <w:rPr>
          <w:b/>
          <w:sz w:val="20"/>
          <w:u w:val="single"/>
        </w:rPr>
        <w:t>Authorization.</w:t>
      </w:r>
      <w:r>
        <w:rPr>
          <w:sz w:val="20"/>
        </w:rPr>
        <w:t xml:space="preserve"> For the purpose of Section 4(a) of the ISDA Agreement, upon execution of this Confirmation, Counterparty agrees to deliver to ENA: (A) a certified resolution of its board of directors or other governing body (i) authorizing this Confirmation and the Transaction contemplated hereby and (ii) authorizing a specified person(s) to execute and deliver on its behalf this Confirmation; and (B) copies of its certificate of limited partnership and partnership agreement or other constituent documents as well as its prospectus; and (C) a letter from its Manager in form and substance satisfactory to ENA.</w:t>
      </w:r>
    </w:p>
    <w:p>
      <w:pPr>
        <w:pStyle w:val="Justified"/>
        <w:spacing w:before="0" w:after="0"/>
        <w:rPr>
          <w:rFonts w:ascii="Times New Roman" w:hAnsi="Times New Roman" w:cs="Times New Roman"/>
          <w:sz w:val="20"/>
        </w:rPr>
      </w:pPr>
      <w:r>
        <w:rPr>
          <w:rFonts w:cs="Times New Roman" w:ascii="Times New Roman" w:hAnsi="Times New Roman"/>
          <w:sz w:val="20"/>
        </w:rPr>
      </w:r>
    </w:p>
    <w:p>
      <w:pPr>
        <w:pStyle w:val="Normal"/>
        <w:rPr>
          <w:sz w:val="20"/>
        </w:rPr>
      </w:pPr>
      <w:r>
        <w:rPr>
          <w:sz w:val="20"/>
        </w:rPr>
        <w:t>14.</w:t>
        <w:tab/>
      </w:r>
      <w:r>
        <w:rPr>
          <w:b/>
          <w:sz w:val="20"/>
          <w:u w:val="single"/>
        </w:rPr>
        <w:t>Offices</w:t>
      </w:r>
      <w:r>
        <w:rPr>
          <w:b/>
          <w:sz w:val="20"/>
        </w:rPr>
        <w:t>.</w:t>
      </w:r>
    </w:p>
    <w:p>
      <w:pPr>
        <w:pStyle w:val="Normal"/>
        <w:keepNext w:val="true"/>
        <w:rPr>
          <w:sz w:val="20"/>
        </w:rPr>
      </w:pPr>
      <w:r>
        <w:rPr>
          <w:sz w:val="20"/>
        </w:rPr>
      </w:r>
    </w:p>
    <w:p>
      <w:pPr>
        <w:pStyle w:val="Normal"/>
        <w:keepNext w:val="true"/>
        <w:jc w:val="both"/>
        <w:rPr>
          <w:sz w:val="20"/>
        </w:rPr>
      </w:pPr>
      <w:r>
        <w:rPr>
          <w:sz w:val="20"/>
        </w:rPr>
        <w:tab/>
        <w:t>(a)</w:t>
        <w:tab/>
        <w:t>The office of Enron North America Corp.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jc w:val="both"/>
        <w:rPr>
          <w:sz w:val="20"/>
        </w:rPr>
      </w:pPr>
      <w:r>
        <w:rPr>
          <w:sz w:val="20"/>
        </w:rPr>
      </w:r>
    </w:p>
    <w:p>
      <w:pPr>
        <w:pStyle w:val="Normal"/>
        <w:jc w:val="both"/>
        <w:rPr>
          <w:sz w:val="20"/>
        </w:rPr>
      </w:pPr>
      <w:r>
        <w:rPr>
          <w:sz w:val="20"/>
        </w:rPr>
        <w:tab/>
        <w:t>(b)</w:t>
        <w:tab/>
        <w:t>The office of Counterparty is and copies of any notices should be delivered to: _____________________________________________________________________________________________Attention:_________________________________________, Facsimile No. _______________________.</w:t>
      </w:r>
    </w:p>
    <w:p>
      <w:pPr>
        <w:pStyle w:val="Normal"/>
        <w:jc w:val="both"/>
        <w:rPr>
          <w:sz w:val="20"/>
        </w:rPr>
      </w:pPr>
      <w:r>
        <w:rPr>
          <w:sz w:val="20"/>
        </w:rPr>
      </w:r>
    </w:p>
    <w:p>
      <w:pPr>
        <w:pStyle w:val="Normal"/>
        <w:keepNext w:val="true"/>
        <w:jc w:val="both"/>
        <w:rPr>
          <w:b/>
          <w:sz w:val="20"/>
          <w:u w:val="single"/>
        </w:rPr>
      </w:pPr>
      <w:r>
        <w:rPr>
          <w:sz w:val="20"/>
        </w:rPr>
        <w:t>15.</w:t>
        <w:tab/>
      </w:r>
      <w:r>
        <w:rPr>
          <w:b/>
          <w:sz w:val="20"/>
          <w:u w:val="single"/>
        </w:rPr>
        <w:t>Credit or Other Special Provisions</w:t>
      </w:r>
      <w:r>
        <w:rPr>
          <w:b/>
          <w:sz w:val="20"/>
        </w:rPr>
        <w:t>.</w:t>
      </w:r>
    </w:p>
    <w:p>
      <w:pPr>
        <w:pStyle w:val="Normal"/>
        <w:keepNext w:val="true"/>
        <w:jc w:val="both"/>
        <w:rPr>
          <w:b/>
          <w:sz w:val="20"/>
          <w:u w:val="single"/>
        </w:rPr>
      </w:pPr>
      <w:r>
        <w:rPr>
          <w:b/>
          <w:sz w:val="20"/>
          <w:u w:val="single"/>
        </w:rPr>
      </w:r>
    </w:p>
    <w:p>
      <w:pPr>
        <w:pStyle w:val="Normal"/>
        <w:keepNext w:val="true"/>
        <w:jc w:val="both"/>
        <w:rPr>
          <w:sz w:val="20"/>
        </w:rPr>
      </w:pPr>
      <w:r>
        <w:rPr>
          <w:sz w:val="20"/>
        </w:rPr>
        <w:tab/>
        <w:t>The credit or other special provisions contained in Annex B and Annex B-1 hereto and made a part hereof apply and are incorporated herein by reference, such that the term “Confirmation” as used herein and in the Annex attached hereto, shall refer to and mean, this Confirmation, together with all of the Annexes attached hereto.</w:t>
      </w:r>
    </w:p>
    <w:p>
      <w:pPr>
        <w:pStyle w:val="Normal"/>
        <w:jc w:val="both"/>
        <w:rPr>
          <w:sz w:val="20"/>
        </w:rPr>
      </w:pPr>
      <w:r>
        <w:rPr>
          <w:sz w:val="20"/>
        </w:rPr>
      </w:r>
    </w:p>
    <w:p>
      <w:pPr>
        <w:pStyle w:val="BodyText"/>
        <w:rPr/>
      </w:pPr>
      <w:r>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Normal"/>
        <w:jc w:val="both"/>
        <w:rPr>
          <w:sz w:val="20"/>
        </w:rPr>
      </w:pPr>
      <w:r>
        <w:rPr>
          <w:sz w:val="20"/>
        </w:rPr>
        <w:t>Enron North America Corp. is pleased to have entered into this Transaction with you.</w:t>
      </w:r>
    </w:p>
    <w:p>
      <w:pPr>
        <w:pStyle w:val="Normal"/>
        <w:rPr>
          <w:sz w:val="20"/>
        </w:rPr>
      </w:pPr>
      <w:r>
        <w:rPr>
          <w:sz w:val="20"/>
        </w:rPr>
      </w:r>
    </w:p>
    <w:p>
      <w:pPr>
        <w:pStyle w:val="Index1"/>
        <w:keepNext w:val="true"/>
        <w:rPr>
          <w:rFonts w:ascii="Times New Roman" w:hAnsi="Times New Roman" w:cs="Times New Roman"/>
        </w:rPr>
      </w:pPr>
      <w:r>
        <w:rPr>
          <w:rFonts w:cs="Times New Roman" w:ascii="Times New Roman" w:hAnsi="Times New Roman"/>
        </w:rPr>
        <w:t>Yours sincerely,</w:t>
      </w:r>
    </w:p>
    <w:p>
      <w:pPr>
        <w:pStyle w:val="Normal"/>
        <w:keepNext w:val="true"/>
        <w:rPr>
          <w:rFonts w:ascii="Times New Roman" w:hAnsi="Times New Roman" w:cs="Times New Roman"/>
          <w:sz w:val="20"/>
        </w:rPr>
      </w:pPr>
      <w:r>
        <w:rPr>
          <w:rFonts w:cs="Times New Roman"/>
          <w:sz w:val="20"/>
        </w:rPr>
      </w:r>
    </w:p>
    <w:p>
      <w:pPr>
        <w:pStyle w:val="Normal"/>
        <w:keepNext w:val="true"/>
        <w:rPr>
          <w:b/>
          <w:sz w:val="20"/>
        </w:rPr>
      </w:pPr>
      <w:r>
        <w:rPr>
          <w:b/>
          <w:sz w:val="20"/>
        </w:rPr>
        <w:t>ENRON NORTH AMERICA CORP.</w:t>
      </w:r>
    </w:p>
    <w:p>
      <w:pPr>
        <w:pStyle w:val="Normal"/>
        <w:keepNext w:val="true"/>
        <w:rPr>
          <w:b/>
          <w:sz w:val="20"/>
        </w:rPr>
      </w:pPr>
      <w:r>
        <w:rPr>
          <w:b/>
          <w:sz w:val="20"/>
        </w:rPr>
      </w:r>
    </w:p>
    <w:p>
      <w:pPr>
        <w:pStyle w:val="Normal"/>
        <w:keepNext w:val="true"/>
        <w:rPr>
          <w:sz w:val="20"/>
        </w:rPr>
      </w:pPr>
      <w:r>
        <w:rPr>
          <w:sz w:val="20"/>
        </w:rPr>
        <w:t>By:</w:t>
        <w:tab/>
        <w:t>_____________________________</w:t>
      </w:r>
    </w:p>
    <w:p>
      <w:pPr>
        <w:pStyle w:val="Normal"/>
        <w:keepNext w:val="true"/>
        <w:rPr>
          <w:sz w:val="20"/>
        </w:rPr>
      </w:pPr>
      <w:r>
        <w:rPr>
          <w:sz w:val="20"/>
        </w:rPr>
        <w:t>Name:</w:t>
        <w:tab/>
        <w:t>_____________________________</w:t>
      </w:r>
    </w:p>
    <w:p>
      <w:pPr>
        <w:pStyle w:val="Normal"/>
        <w:keepNext w:val="true"/>
        <w:rPr>
          <w:sz w:val="20"/>
        </w:rPr>
      </w:pPr>
      <w:r>
        <w:rPr>
          <w:sz w:val="20"/>
        </w:rPr>
        <w:t>Title:</w:t>
        <w:tab/>
        <w:t>_____________________________</w:t>
      </w:r>
    </w:p>
    <w:p>
      <w:pPr>
        <w:pStyle w:val="Normal"/>
        <w:keepNext w:val="true"/>
        <w:rPr>
          <w:sz w:val="20"/>
        </w:rPr>
      </w:pPr>
      <w:r>
        <w:rPr>
          <w:sz w:val="20"/>
        </w:rPr>
      </w:r>
    </w:p>
    <w:p>
      <w:pPr>
        <w:pStyle w:val="Normal"/>
        <w:keepNext w:val="true"/>
        <w:rPr>
          <w:sz w:val="20"/>
        </w:rPr>
      </w:pPr>
      <w:r>
        <w:rPr>
          <w:sz w:val="20"/>
        </w:rPr>
        <w:t>Confirmed as of the Trade Date:</w:t>
      </w:r>
    </w:p>
    <w:p>
      <w:pPr>
        <w:pStyle w:val="Normal"/>
        <w:keepNext w:val="true"/>
        <w:rPr>
          <w:sz w:val="20"/>
        </w:rPr>
      </w:pPr>
      <w:r>
        <w:rPr>
          <w:sz w:val="20"/>
        </w:rPr>
      </w:r>
    </w:p>
    <w:p>
      <w:pPr>
        <w:pStyle w:val="Normal"/>
        <w:keepNext w:val="true"/>
        <w:rPr>
          <w:sz w:val="20"/>
        </w:rPr>
      </w:pPr>
      <w:r>
        <w:rPr>
          <w:b/>
          <w:sz w:val="20"/>
        </w:rPr>
        <w:t>CATEQUIL OVERSEAS PARTNERS LTD.</w:t>
      </w:r>
    </w:p>
    <w:p>
      <w:pPr>
        <w:pStyle w:val="Normal"/>
        <w:keepNext w:val="true"/>
        <w:rPr>
          <w:sz w:val="20"/>
        </w:rPr>
      </w:pPr>
      <w:r>
        <w:rPr>
          <w:sz w:val="20"/>
        </w:rPr>
      </w:r>
    </w:p>
    <w:p>
      <w:pPr>
        <w:pStyle w:val="Normal"/>
        <w:keepNext w:val="true"/>
        <w:rPr>
          <w:sz w:val="20"/>
        </w:rPr>
      </w:pPr>
      <w:r>
        <w:rPr>
          <w:sz w:val="20"/>
        </w:rPr>
        <w:t>By:</w:t>
        <w:tab/>
        <w:t>_____________________________</w:t>
      </w:r>
    </w:p>
    <w:p>
      <w:pPr>
        <w:pStyle w:val="Normal"/>
        <w:keepNext w:val="true"/>
        <w:rPr>
          <w:sz w:val="20"/>
        </w:rPr>
      </w:pPr>
      <w:r>
        <w:rPr>
          <w:sz w:val="20"/>
        </w:rPr>
        <w:t>Name:</w:t>
        <w:tab/>
        <w:t>_____________________________</w:t>
      </w:r>
    </w:p>
    <w:p>
      <w:pPr>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keepNext w:val="true"/>
        <w:rPr>
          <w:sz w:val="20"/>
        </w:rPr>
      </w:pPr>
      <w:r>
        <w:rPr>
          <w:sz w:val="20"/>
        </w:rPr>
        <w:t>Title:</w:t>
        <w:tab/>
        <w:t>_____________________________</w:t>
      </w:r>
    </w:p>
    <w:p>
      <w:pPr>
        <w:pStyle w:val="Normal"/>
        <w:keepNext w:val="true"/>
        <w:jc w:val="center"/>
        <w:rPr>
          <w:b/>
          <w:color w:val="000000"/>
          <w:sz w:val="20"/>
          <w:u w:val="single"/>
        </w:rPr>
      </w:pPr>
      <w:r>
        <w:rPr>
          <w:b/>
          <w:color w:val="000000"/>
          <w:sz w:val="20"/>
          <w:u w:val="single"/>
        </w:rPr>
        <w:t>EXHIBIT 1</w:t>
      </w:r>
    </w:p>
    <w:p>
      <w:pPr>
        <w:pStyle w:val="Normal"/>
        <w:keepNext w:val="true"/>
        <w:jc w:val="end"/>
        <w:rPr>
          <w:b/>
          <w:color w:val="000000"/>
          <w:sz w:val="20"/>
          <w:u w:val="single"/>
        </w:rPr>
      </w:pPr>
      <w:r>
        <w:rPr>
          <w:b/>
          <w:color w:val="000000"/>
          <w:sz w:val="20"/>
          <w:u w:val="single"/>
        </w:rPr>
      </w:r>
    </w:p>
    <w:p>
      <w:pPr>
        <w:pStyle w:val="Normal"/>
        <w:jc w:val="end"/>
        <w:rPr>
          <w:color w:val="000000"/>
          <w:sz w:val="20"/>
        </w:rPr>
      </w:pPr>
      <w:r>
        <w:rPr>
          <w:color w:val="000000"/>
          <w:sz w:val="20"/>
        </w:rPr>
      </w:r>
    </w:p>
    <w:p>
      <w:pPr>
        <w:pStyle w:val="Normal"/>
        <w:rPr>
          <w:sz w:val="20"/>
        </w:rPr>
      </w:pPr>
      <w:r>
        <w:rPr>
          <w:sz w:val="20"/>
        </w:rPr>
      </w:r>
    </w:p>
    <w:p>
      <w:pPr>
        <w:pStyle w:val="Normal"/>
        <w:rPr>
          <w:sz w:val="20"/>
        </w:rPr>
      </w:pPr>
      <w:r>
        <w:rPr>
          <w:sz w:val="20"/>
        </w:rPr>
      </w:r>
    </w:p>
    <w:p>
      <w:pPr>
        <w:pStyle w:val="Normal"/>
        <w:jc w:val="center"/>
        <w:rPr>
          <w:sz w:val="20"/>
        </w:rPr>
      </w:pPr>
      <w:r>
        <w:rPr>
          <w:sz w:val="20"/>
        </w:rPr>
        <w:t>[Letterhead of</w:t>
      </w:r>
    </w:p>
    <w:p>
      <w:pPr>
        <w:pStyle w:val="Normal"/>
        <w:jc w:val="center"/>
        <w:rPr>
          <w:sz w:val="20"/>
        </w:rPr>
      </w:pPr>
      <w:r>
        <w:rPr>
          <w:sz w:val="20"/>
        </w:rPr>
        <w:t>Counsel to Counterparty]</w:t>
      </w:r>
    </w:p>
    <w:p>
      <w:pPr>
        <w:pStyle w:val="Normal"/>
        <w:jc w:val="center"/>
        <w:rPr>
          <w:sz w:val="20"/>
        </w:rPr>
      </w:pPr>
      <w:r>
        <w:rPr>
          <w:sz w:val="20"/>
        </w:rPr>
      </w:r>
    </w:p>
    <w:p>
      <w:pPr>
        <w:pStyle w:val="Normal"/>
        <w:jc w:val="center"/>
        <w:rPr>
          <w:sz w:val="20"/>
        </w:rPr>
      </w:pPr>
      <w:r>
        <w:rPr>
          <w:sz w:val="20"/>
        </w:rPr>
      </w:r>
    </w:p>
    <w:p>
      <w:pPr>
        <w:pStyle w:val="Normal"/>
        <w:jc w:val="center"/>
        <w:rPr>
          <w:sz w:val="20"/>
        </w:rPr>
      </w:pPr>
      <w:r>
        <w:rPr>
          <w:sz w:val="20"/>
        </w:rPr>
        <w:t>[Date]</w:t>
      </w:r>
    </w:p>
    <w:p>
      <w:pPr>
        <w:pStyle w:val="Normal"/>
        <w:jc w:val="center"/>
        <w:rPr>
          <w:sz w:val="20"/>
        </w:rPr>
      </w:pPr>
      <w:r>
        <w:rPr>
          <w:sz w:val="20"/>
        </w:rPr>
      </w:r>
    </w:p>
    <w:p>
      <w:pPr>
        <w:pStyle w:val="Normal"/>
        <w:jc w:val="center"/>
        <w:rPr>
          <w:sz w:val="20"/>
        </w:rPr>
      </w:pPr>
      <w:r>
        <w:rPr>
          <w:sz w:val="20"/>
        </w:rPr>
      </w:r>
    </w:p>
    <w:p>
      <w:pPr>
        <w:pStyle w:val="Normal"/>
        <w:rPr>
          <w:sz w:val="20"/>
        </w:rPr>
      </w:pPr>
      <w:r>
        <w:rPr>
          <w:sz w:val="20"/>
        </w:rPr>
        <w:t>Enron North America Corp.</w:t>
      </w:r>
    </w:p>
    <w:p>
      <w:pPr>
        <w:pStyle w:val="Normal"/>
        <w:rPr>
          <w:sz w:val="20"/>
        </w:rPr>
      </w:pPr>
      <w:r>
        <w:rPr>
          <w:sz w:val="20"/>
        </w:rPr>
        <w:t>1400 Smith Street</w:t>
      </w:r>
    </w:p>
    <w:p>
      <w:pPr>
        <w:pStyle w:val="Index1"/>
        <w:rPr>
          <w:rFonts w:ascii="Times New Roman" w:hAnsi="Times New Roman" w:cs="Times New Roman"/>
        </w:rPr>
      </w:pPr>
      <w:r>
        <w:rPr>
          <w:rFonts w:cs="Times New Roman" w:ascii="Times New Roman" w:hAnsi="Times New Roman"/>
        </w:rPr>
        <w:t>Houston, Texas  77002</w:t>
      </w:r>
    </w:p>
    <w:p>
      <w:pPr>
        <w:pStyle w:val="Normal"/>
        <w:rPr>
          <w:rFonts w:ascii="Times New Roman" w:hAnsi="Times New Roman" w:cs="Times New Roman"/>
          <w:sz w:val="20"/>
        </w:rPr>
      </w:pPr>
      <w:r>
        <w:rPr>
          <w:rFonts w:cs="Times New Roman"/>
          <w:sz w:val="20"/>
        </w:rPr>
      </w:r>
    </w:p>
    <w:p>
      <w:pPr>
        <w:pStyle w:val="Normal"/>
        <w:rPr>
          <w:sz w:val="20"/>
        </w:rPr>
      </w:pPr>
      <w:r>
        <w:rPr>
          <w:sz w:val="20"/>
        </w:rPr>
        <w:t>Dear Sir or Madam:</w:t>
      </w:r>
    </w:p>
    <w:p>
      <w:pPr>
        <w:pStyle w:val="Normal"/>
        <w:rPr>
          <w:sz w:val="20"/>
        </w:rPr>
      </w:pPr>
      <w:r>
        <w:rPr>
          <w:sz w:val="20"/>
        </w:rPr>
      </w:r>
    </w:p>
    <w:p>
      <w:pPr>
        <w:pStyle w:val="Normal"/>
        <w:ind w:firstLine="1440" w:end="0"/>
        <w:jc w:val="both"/>
        <w:rPr>
          <w:sz w:val="20"/>
        </w:rPr>
      </w:pPr>
      <w:r>
        <w:rPr>
          <w:sz w:val="20"/>
        </w:rPr>
        <w:t>We have acted as counsel to Catequil Overseas Partners Ltd. (the “Counterparty”), in connection with the execution and delivery by the Counterparty of a Confirmation dated as of ________ (the Confirmation, the ISDA Master Agreement and any Transactions intended to be governed thereby are hereinafter referred to as the “Agreement”), between you and the Counterparty.</w:t>
      </w:r>
    </w:p>
    <w:p>
      <w:pPr>
        <w:pStyle w:val="Normal"/>
        <w:jc w:val="both"/>
        <w:rPr>
          <w:sz w:val="20"/>
        </w:rPr>
      </w:pPr>
      <w:r>
        <w:rPr>
          <w:sz w:val="20"/>
        </w:rPr>
      </w:r>
    </w:p>
    <w:p>
      <w:pPr>
        <w:pStyle w:val="Normal"/>
        <w:jc w:val="both"/>
        <w:rPr/>
      </w:pPr>
      <w:r>
        <w:rPr>
          <w:sz w:val="20"/>
        </w:rPr>
        <w:tab/>
        <w:tab/>
        <w:t xml:space="preserve">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w:t>
      </w:r>
      <w:r>
        <w:rPr>
          <w:sz w:val="20"/>
          <w:u w:val="single"/>
        </w:rPr>
        <w:t xml:space="preserve">                                              </w:t>
      </w:r>
      <w:r>
        <w:rPr>
          <w:sz w:val="20"/>
        </w:rPr>
        <w:t>.</w:t>
      </w:r>
    </w:p>
    <w:p>
      <w:pPr>
        <w:pStyle w:val="Normal"/>
        <w:jc w:val="both"/>
        <w:rPr>
          <w:sz w:val="20"/>
        </w:rPr>
      </w:pPr>
      <w:r>
        <w:rPr>
          <w:sz w:val="20"/>
        </w:rPr>
      </w:r>
    </w:p>
    <w:p>
      <w:pPr>
        <w:pStyle w:val="Normal"/>
        <w:jc w:val="both"/>
        <w:rPr>
          <w:sz w:val="20"/>
        </w:rPr>
      </w:pPr>
      <w:r>
        <w:rPr>
          <w:sz w:val="20"/>
        </w:rPr>
        <w:tab/>
        <w:tab/>
        <w:t>Based upon the foregoing and having regard for such legal considerations as we deem relevant, we are of opinion that:</w:t>
      </w:r>
    </w:p>
    <w:p>
      <w:pPr>
        <w:pStyle w:val="Normal"/>
        <w:jc w:val="both"/>
        <w:rPr>
          <w:sz w:val="20"/>
        </w:rPr>
      </w:pPr>
      <w:r>
        <w:rPr>
          <w:sz w:val="20"/>
        </w:rPr>
      </w:r>
    </w:p>
    <w:p>
      <w:pPr>
        <w:pStyle w:val="Normal"/>
        <w:tabs>
          <w:tab w:val="clear" w:pos="720"/>
          <w:tab w:val="left" w:pos="1440" w:leader="none"/>
        </w:tabs>
        <w:jc w:val="both"/>
        <w:rPr>
          <w:sz w:val="20"/>
        </w:rPr>
      </w:pPr>
      <w:r>
        <w:rPr>
          <w:sz w:val="20"/>
        </w:rPr>
        <w:tab/>
        <w:t>1.  The Counterparty is a [__________________] duly existing under the laws of [________________].</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2.  The Counterparty has full corporate power to execute and deliver the Agreement and to perform its obligations thereunder.</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tabs>
          <w:tab w:val="clear" w:pos="720"/>
          <w:tab w:val="left" w:pos="1440" w:leader="none"/>
        </w:tabs>
        <w:rPr>
          <w:sz w:val="20"/>
        </w:rPr>
      </w:pPr>
      <w:r>
        <w:rPr>
          <w:sz w:val="20"/>
        </w:rPr>
      </w:r>
    </w:p>
    <w:p>
      <w:pPr>
        <w:pStyle w:val="Normal"/>
        <w:keepNext w:val="true"/>
        <w:jc w:val="end"/>
        <w:rPr>
          <w:sz w:val="20"/>
        </w:rPr>
      </w:pPr>
      <w:r>
        <w:rPr>
          <w:sz w:val="20"/>
        </w:rPr>
        <w:t>Very truly yours</w:t>
        <w:tab/>
        <w:tab/>
        <w:tab/>
      </w:r>
    </w:p>
    <w:p>
      <w:pPr>
        <w:pStyle w:val="Normal"/>
        <w:keepNext w:val="true"/>
        <w:jc w:val="end"/>
        <w:rPr>
          <w:sz w:val="20"/>
        </w:rPr>
      </w:pPr>
      <w:r>
        <w:rPr>
          <w:sz w:val="20"/>
        </w:rPr>
      </w:r>
    </w:p>
    <w:p>
      <w:pPr>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start="1" w:fmt="decimal"/>
          <w:formProt w:val="false"/>
          <w:textDirection w:val="lrTb"/>
          <w:docGrid w:type="default" w:linePitch="360" w:charSpace="0"/>
        </w:sectPr>
        <w:pStyle w:val="Normal"/>
        <w:keepNext w:val="true"/>
        <w:keepLines/>
        <w:spacing w:lineRule="exact" w:line="240"/>
        <w:jc w:val="center"/>
        <w:rPr>
          <w:b/>
          <w:sz w:val="20"/>
        </w:rPr>
      </w:pPr>
      <w:r>
        <w:rPr>
          <w:b/>
          <w:sz w:val="20"/>
        </w:rPr>
      </w:r>
    </w:p>
    <w:p>
      <w:pPr>
        <w:pStyle w:val="Normal"/>
        <w:keepNext w:val="true"/>
        <w:spacing w:lineRule="exact" w:line="240"/>
        <w:jc w:val="center"/>
        <w:rPr>
          <w:b/>
          <w:sz w:val="20"/>
        </w:rPr>
      </w:pPr>
      <w:r>
        <w:rPr>
          <w:b/>
          <w:sz w:val="20"/>
        </w:rPr>
        <w:t>ANNEX A</w:t>
      </w:r>
    </w:p>
    <w:p>
      <w:pPr>
        <w:pStyle w:val="Normal"/>
        <w:keepNext w:val="true"/>
        <w:jc w:val="center"/>
        <w:rPr>
          <w:b/>
          <w:sz w:val="20"/>
        </w:rPr>
      </w:pPr>
      <w:r>
        <w:rPr>
          <w:b/>
          <w:sz w:val="20"/>
        </w:rPr>
      </w:r>
    </w:p>
    <w:p>
      <w:pPr>
        <w:pStyle w:val="Normal"/>
        <w:keepNext w:val="true"/>
        <w:jc w:val="center"/>
        <w:rPr>
          <w:b/>
          <w:sz w:val="20"/>
        </w:rPr>
      </w:pPr>
      <w:r>
        <w:rPr>
          <w:b/>
          <w:sz w:val="20"/>
        </w:rPr>
        <w:t>U.S. WITHHOLDING TAX</w:t>
      </w:r>
    </w:p>
    <w:p>
      <w:pPr>
        <w:pStyle w:val="Normal"/>
        <w:keepNext w:val="true"/>
        <w:jc w:val="center"/>
        <w:rPr>
          <w:b/>
          <w:sz w:val="20"/>
        </w:rPr>
      </w:pPr>
      <w:r>
        <w:rPr>
          <w:b/>
          <w:sz w:val="20"/>
        </w:rPr>
      </w:r>
    </w:p>
    <w:p>
      <w:pPr>
        <w:pStyle w:val="Normal"/>
        <w:jc w:val="center"/>
        <w:rPr>
          <w:b/>
          <w:sz w:val="20"/>
        </w:rPr>
      </w:pPr>
      <w:r>
        <w:rPr>
          <w:b/>
          <w:sz w:val="20"/>
        </w:rPr>
        <w:t>Party A: Enron North America Corp.</w:t>
      </w:r>
    </w:p>
    <w:p>
      <w:pPr>
        <w:pStyle w:val="Normal"/>
        <w:jc w:val="center"/>
        <w:rPr>
          <w:b/>
          <w:sz w:val="20"/>
        </w:rPr>
      </w:pPr>
      <w:r>
        <w:rPr>
          <w:b/>
          <w:sz w:val="20"/>
        </w:rPr>
        <w:t>Party B:  Catequil Overseas Partners Ltd.</w:t>
      </w:r>
    </w:p>
    <w:p>
      <w:pPr>
        <w:pStyle w:val="Normal"/>
        <w:tabs>
          <w:tab w:val="left" w:pos="720" w:leader="none"/>
          <w:tab w:val="left" w:pos="1080" w:leader="none"/>
        </w:tabs>
        <w:spacing w:lineRule="exact" w:line="480"/>
        <w:jc w:val="both"/>
        <w:rPr>
          <w:b/>
          <w:sz w:val="20"/>
        </w:rPr>
      </w:pPr>
      <w:r>
        <w:rPr>
          <w:b/>
          <w:sz w:val="20"/>
        </w:rPr>
        <w:t>I.</w:t>
        <w:tab/>
        <w:t>Tax Representations.</w:t>
      </w:r>
    </w:p>
    <w:p>
      <w:pPr>
        <w:pStyle w:val="Normal"/>
        <w:spacing w:lineRule="exact" w:line="240" w:before="240" w:after="0"/>
        <w:ind w:firstLine="720" w:end="0"/>
        <w:jc w:val="both"/>
        <w:rPr/>
      </w:pPr>
      <w:r>
        <w:rPr>
          <w:sz w:val="20"/>
        </w:rPr>
        <w:t>(a)</w:t>
      </w:r>
      <w:r>
        <w:rPr>
          <w:b/>
          <w:sz w:val="20"/>
        </w:rPr>
        <w:tab/>
        <w:t xml:space="preserve">Payer Representations.  </w:t>
      </w:r>
      <w:r>
        <w:rPr>
          <w:sz w:val="20"/>
        </w:rPr>
        <w:t>For the purpose of Section 3(e) of the ISDA Agreement, Party A and Party B make the following representation:</w:t>
      </w:r>
    </w:p>
    <w:p>
      <w:pPr>
        <w:pStyle w:val="Normal"/>
        <w:spacing w:lineRule="exact" w:line="240" w:before="240" w:after="0"/>
        <w:ind w:start="720" w:end="0"/>
        <w:jc w:val="both"/>
        <w:rPr/>
      </w:pPr>
      <w:r>
        <w:rPr>
          <w:sz w:val="20"/>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this Confirmation and the ISDA Agreement.  In making this representation, it may rely on (i) the accuracy of any representations made by the other party pursuant to Section 3(f) of the ISDA Agreement, (ii) the satisfaction of the agreement contained in Section 4(a)(i) or 4(a)(iii) of the ISDA Agreement and the accuracy and effectiveness of any document provided by the other party pursuant to Section 4(a)(i) or 4(a)(iii) of the ISDA Agreement, and (iii) the satisfaction of the agreement of the other party contained in Section 4(d) of the ISDA Agreement, </w:t>
      </w:r>
      <w:r>
        <w:rPr>
          <w:i/>
          <w:sz w:val="20"/>
        </w:rPr>
        <w:t>provided</w:t>
      </w:r>
      <w:r>
        <w:rPr>
          <w:sz w:val="20"/>
        </w:rPr>
        <w:t xml:space="preserve"> that it shall not be a breach of this representation where reliance is placed on Clause (ii) and the other party does not deliver a form or document under Section 4(a)(iii) of the ISDA Agreement by reason of material prejudice to its legal or commercial position.</w:t>
      </w:r>
    </w:p>
    <w:p>
      <w:pPr>
        <w:pStyle w:val="Normal"/>
        <w:spacing w:lineRule="exact" w:line="240" w:before="240" w:after="0"/>
        <w:ind w:firstLine="720" w:end="0"/>
        <w:jc w:val="both"/>
        <w:rPr/>
      </w:pPr>
      <w:r>
        <w:rPr>
          <w:sz w:val="20"/>
        </w:rPr>
        <w:t>(b)</w:t>
      </w:r>
      <w:r>
        <w:rPr>
          <w:b/>
          <w:sz w:val="20"/>
        </w:rPr>
        <w:tab/>
        <w:t>Payee Representations.</w:t>
      </w:r>
      <w:r>
        <w:rPr>
          <w:sz w:val="20"/>
        </w:rPr>
        <w:t xml:space="preserve">  For the purpose of Section 3(f) of the ISDA Agreement, Party A and Party B make the following representations:</w:t>
      </w:r>
    </w:p>
    <w:p>
      <w:pPr>
        <w:pStyle w:val="Normal"/>
        <w:spacing w:lineRule="exact" w:line="240" w:before="240" w:after="0"/>
        <w:ind w:hanging="180" w:start="900" w:end="0"/>
        <w:jc w:val="both"/>
        <w:rPr>
          <w:sz w:val="20"/>
        </w:rPr>
      </w:pPr>
      <w:r>
        <w:rPr>
          <w:sz w:val="20"/>
        </w:rPr>
        <w:t>(i)</w:t>
        <w:tab/>
        <w:t>The following representation applies to Party A:</w:t>
      </w:r>
    </w:p>
    <w:p>
      <w:pPr>
        <w:pStyle w:val="Normal"/>
        <w:spacing w:lineRule="exact" w:line="240" w:before="240" w:after="0"/>
        <w:ind w:firstLine="540" w:start="900" w:end="0"/>
        <w:jc w:val="both"/>
        <w:rPr>
          <w:sz w:val="20"/>
        </w:rPr>
      </w:pPr>
      <w:r>
        <w:rPr>
          <w:sz w:val="20"/>
        </w:rPr>
        <w:t>Party A is a corporation organized under the law of the State of Delaware.</w:t>
      </w:r>
    </w:p>
    <w:p>
      <w:pPr>
        <w:pStyle w:val="Normal"/>
        <w:spacing w:lineRule="exact" w:line="240" w:before="240" w:after="0"/>
        <w:ind w:hanging="180" w:start="900" w:end="0"/>
        <w:jc w:val="both"/>
        <w:rPr>
          <w:sz w:val="20"/>
        </w:rPr>
      </w:pPr>
      <w:r>
        <w:rPr>
          <w:sz w:val="20"/>
        </w:rPr>
        <w:t>(ii)</w:t>
        <w:tab/>
        <w:t>The following representation applies to Party B:</w:t>
      </w:r>
    </w:p>
    <w:p>
      <w:pPr>
        <w:pStyle w:val="Normal"/>
        <w:spacing w:lineRule="exact" w:line="240" w:before="240" w:after="0"/>
        <w:ind w:firstLine="540" w:start="900" w:end="0"/>
        <w:jc w:val="both"/>
        <w:rPr/>
      </w:pPr>
      <w:r>
        <w:rPr>
          <w:sz w:val="20"/>
        </w:rPr>
        <w:t xml:space="preserve">Party B is a limited partnership organized under the law of the State of </w:t>
      </w:r>
      <w:r>
        <w:rPr>
          <w:sz w:val="20"/>
          <w:u w:val="single"/>
        </w:rPr>
        <w:tab/>
        <w:tab/>
        <w:tab/>
      </w:r>
    </w:p>
    <w:p>
      <w:pPr>
        <w:pStyle w:val="Normal"/>
        <w:tabs>
          <w:tab w:val="clear" w:pos="720"/>
          <w:tab w:val="left" w:pos="1080" w:leader="none"/>
        </w:tabs>
        <w:spacing w:lineRule="exact" w:line="480"/>
        <w:jc w:val="both"/>
        <w:rPr>
          <w:b/>
          <w:sz w:val="20"/>
        </w:rPr>
      </w:pPr>
      <w:r>
        <w:rPr>
          <w:b/>
          <w:sz w:val="20"/>
        </w:rPr>
        <w:t>II.</w:t>
        <w:tab/>
        <w:t>Agreement to Deliver Documents</w:t>
      </w:r>
    </w:p>
    <w:p>
      <w:pPr>
        <w:pStyle w:val="BodyText"/>
        <w:spacing w:lineRule="exact" w:line="240" w:before="240" w:after="0"/>
        <w:ind w:firstLine="720" w:end="0"/>
        <w:rPr/>
      </w:pPr>
      <w:r>
        <w:rPr/>
        <w:t>For the purpose of Section 4(a) of the ISDA Agreement, the Tax forms, documents, or certificates to be delivered are:</w:t>
      </w:r>
    </w:p>
    <w:p>
      <w:pPr>
        <w:pStyle w:val="Normal"/>
        <w:spacing w:lineRule="exact" w:line="240" w:before="240" w:after="0"/>
        <w:ind w:hanging="720" w:start="1440" w:end="0"/>
        <w:jc w:val="both"/>
        <w:rPr>
          <w:sz w:val="20"/>
        </w:rPr>
      </w:pPr>
      <w:r>
        <w:rPr>
          <w:sz w:val="20"/>
        </w:rPr>
        <w:t>(a)</w:t>
        <w:tab/>
        <w:t>Party B agrees to complete (accurately and in a manner reasonably satisfactory to Party A), execute, and deliver to Party A a United States Internal Revenue Form W-9, or any successor form, (i) as of the date of this Confirmation and the ISDA Agreement, (ii) promptly upon reasonable demand by Party A, and (iii) promptly upon learning that any such form previously provided by Party B has become obsolete or incorrect.</w:t>
      </w:r>
    </w:p>
    <w:p>
      <w:pPr>
        <w:pStyle w:val="Normal"/>
        <w:spacing w:lineRule="exact" w:line="240"/>
        <w:jc w:val="both"/>
        <w:rPr>
          <w:b/>
          <w:sz w:val="20"/>
        </w:rPr>
      </w:pPr>
      <w:r>
        <w:rPr>
          <w:b/>
          <w:sz w:val="20"/>
        </w:rPr>
      </w:r>
    </w:p>
    <w:p>
      <w:pPr>
        <w:sectPr>
          <w:headerReference w:type="default" r:id="rId11"/>
          <w:headerReference w:type="first" r:id="rId12"/>
          <w:footerReference w:type="default" r:id="rId13"/>
          <w:footerReference w:type="first" r:id="rId14"/>
          <w:type w:val="nextPage"/>
          <w:pgSz w:w="12240" w:h="15840"/>
          <w:pgMar w:left="1440" w:right="1440" w:gutter="0" w:header="720" w:top="1440" w:footer="720" w:bottom="1440"/>
          <w:pgNumType w:start="1" w:fmt="decimal"/>
          <w:formProt w:val="false"/>
          <w:textDirection w:val="lrTb"/>
          <w:docGrid w:type="default" w:linePitch="360" w:charSpace="0"/>
        </w:sectPr>
        <w:pStyle w:val="Normal"/>
        <w:spacing w:lineRule="exact" w:line="240"/>
        <w:jc w:val="both"/>
        <w:rPr/>
      </w:pPr>
      <w:r>
        <w:rPr>
          <w:b/>
          <w:sz w:val="20"/>
        </w:rPr>
        <w:t>III.</w:t>
        <w:tab/>
        <w:t xml:space="preserve">Definitions. </w:t>
      </w:r>
      <w:r>
        <w:rPr>
          <w:sz w:val="20"/>
        </w:rPr>
        <w:t xml:space="preserve">  Capitalized terms not otherwise defined in this Annex A shall have the meaning set forth in this Confirmation or the ISDA Agreement.</w:t>
      </w:r>
    </w:p>
    <w:p>
      <w:pPr>
        <w:pStyle w:val="Heading4"/>
        <w:ind w:hanging="0" w:start="0"/>
        <w:rPr/>
      </w:pPr>
      <w:r>
        <w:rPr/>
        <w:t>DEEMED ISDA</w:t>
      </w:r>
    </w:p>
    <w:p>
      <w:pPr>
        <w:pStyle w:val="Normal"/>
        <w:jc w:val="center"/>
        <w:rPr>
          <w:b/>
          <w:sz w:val="20"/>
          <w:u w:val="single"/>
        </w:rPr>
      </w:pPr>
      <w:r>
        <w:rPr>
          <w:b/>
          <w:sz w:val="20"/>
          <w:u w:val="single"/>
        </w:rPr>
      </w:r>
    </w:p>
    <w:p>
      <w:pPr>
        <w:pStyle w:val="Normal"/>
        <w:jc w:val="center"/>
        <w:rPr>
          <w:b/>
          <w:sz w:val="20"/>
          <w:u w:val="single"/>
        </w:rPr>
      </w:pPr>
      <w:r>
        <w:rPr>
          <w:b/>
          <w:sz w:val="20"/>
          <w:u w:val="single"/>
        </w:rPr>
        <w:t>ANNEX B</w:t>
      </w:r>
    </w:p>
    <w:p>
      <w:pPr>
        <w:pStyle w:val="Normal"/>
        <w:jc w:val="center"/>
        <w:rPr>
          <w:b/>
          <w:sz w:val="20"/>
          <w:u w:val="single"/>
        </w:rPr>
      </w:pPr>
      <w:r>
        <w:rPr>
          <w:b/>
          <w:sz w:val="20"/>
          <w:u w:val="single"/>
        </w:rPr>
      </w:r>
    </w:p>
    <w:p>
      <w:pPr>
        <w:pStyle w:val="Normal"/>
        <w:jc w:val="center"/>
        <w:rPr>
          <w:b/>
          <w:sz w:val="20"/>
        </w:rPr>
      </w:pPr>
      <w:r>
        <w:rPr>
          <w:b/>
          <w:sz w:val="20"/>
        </w:rPr>
        <w:t>CREDIT AND OTHER SPECIAL PROVISIONS</w:t>
      </w:r>
    </w:p>
    <w:p>
      <w:pPr>
        <w:pStyle w:val="Normal"/>
        <w:rPr>
          <w:b/>
          <w:sz w:val="20"/>
        </w:rPr>
      </w:pPr>
      <w:r>
        <w:rPr>
          <w:b/>
          <w:sz w:val="20"/>
        </w:rPr>
      </w:r>
    </w:p>
    <w:p>
      <w:pPr>
        <w:pStyle w:val="Normal"/>
        <w:jc w:val="center"/>
        <w:rPr>
          <w:b/>
          <w:sz w:val="20"/>
        </w:rPr>
      </w:pPr>
      <w:r>
        <w:rPr>
          <w:b/>
          <w:sz w:val="20"/>
        </w:rPr>
      </w:r>
    </w:p>
    <w:p>
      <w:pPr>
        <w:pStyle w:val="Normal"/>
        <w:jc w:val="both"/>
        <w:rPr>
          <w:sz w:val="20"/>
        </w:rPr>
      </w:pPr>
      <w:r>
        <w:rPr>
          <w:sz w:val="20"/>
        </w:rPr>
        <w:tab/>
        <w:t>This Annex B supplements, forms part of, and is incorporated into the Confirmation to which this Annex B is attached.  Until an ISDA Master Agreement is executed by the parties, this Annex B will set forth the credit and other special provisions governing all Transactions between the parties except as otherwise specified in a Confirmation to a Transaction.</w:t>
      </w:r>
    </w:p>
    <w:p>
      <w:pPr>
        <w:pStyle w:val="Normal"/>
        <w:spacing w:lineRule="exact" w:line="240" w:before="240" w:after="0"/>
        <w:jc w:val="both"/>
        <w:rPr/>
      </w:pPr>
      <w:r>
        <w:rPr>
          <w:sz w:val="20"/>
        </w:rPr>
        <w:t>1.</w:t>
        <w:tab/>
      </w:r>
      <w:r>
        <w:rPr>
          <w:sz w:val="20"/>
          <w:u w:val="single"/>
        </w:rPr>
        <w:t>Additional Events of Default</w:t>
      </w:r>
      <w:r>
        <w:rPr>
          <w:sz w:val="20"/>
        </w:rPr>
        <w:t>. The following will constitute additional Events of Default for purposes of Section 5(a) of the ISDA Agreement:</w:t>
      </w:r>
    </w:p>
    <w:p>
      <w:pPr>
        <w:pStyle w:val="Normal"/>
        <w:jc w:val="both"/>
        <w:rPr>
          <w:b/>
          <w:sz w:val="20"/>
          <w:u w:val="single"/>
        </w:rPr>
      </w:pPr>
      <w:r>
        <w:rPr>
          <w:b/>
          <w:sz w:val="20"/>
          <w:u w:val="single"/>
        </w:rPr>
      </w:r>
    </w:p>
    <w:p>
      <w:pPr>
        <w:pStyle w:val="Normal"/>
        <w:ind w:hanging="360" w:start="720" w:end="0"/>
        <w:jc w:val="both"/>
        <w:rPr>
          <w:sz w:val="20"/>
        </w:rPr>
      </w:pPr>
      <w:r>
        <w:rPr>
          <w:sz w:val="20"/>
        </w:rPr>
        <w:t>(i)</w:t>
        <w:tab/>
        <w:t>The following Events of Default are added to Section 5(a) of the ISDA Agreement:</w:t>
      </w:r>
    </w:p>
    <w:p>
      <w:pPr>
        <w:pStyle w:val="Normal"/>
        <w:ind w:hanging="720" w:start="720" w:end="0"/>
        <w:jc w:val="both"/>
        <w:rPr>
          <w:sz w:val="20"/>
        </w:rPr>
      </w:pPr>
      <w:r>
        <w:rPr>
          <w:sz w:val="20"/>
        </w:rPr>
      </w:r>
    </w:p>
    <w:p>
      <w:pPr>
        <w:pStyle w:val="Normal"/>
        <w:ind w:hanging="720" w:start="1440" w:end="0"/>
        <w:jc w:val="both"/>
        <w:rPr>
          <w:sz w:val="20"/>
        </w:rPr>
      </w:pPr>
      <w:r>
        <w:rPr>
          <w:sz w:val="20"/>
        </w:rPr>
        <w:t>"(ix)</w:t>
        <w:tab/>
        <w:t>the Defaulting Party fails to establish, maintain, renew, substitute or increase the Performance Assurance, including without limitation, any Additional Amount applicable to it, in accordance with the terms and provisions of Annex B-1 and the failure continues for two (2) Business Days after notice from the other party; or</w:t>
      </w:r>
    </w:p>
    <w:p>
      <w:pPr>
        <w:pStyle w:val="Normal"/>
        <w:jc w:val="both"/>
        <w:rPr>
          <w:sz w:val="20"/>
        </w:rPr>
      </w:pPr>
      <w:r>
        <w:rPr>
          <w:sz w:val="20"/>
        </w:rPr>
      </w:r>
    </w:p>
    <w:p>
      <w:pPr>
        <w:pStyle w:val="Normal"/>
        <w:ind w:firstLine="720" w:end="0"/>
        <w:jc w:val="both"/>
        <w:rPr>
          <w:sz w:val="20"/>
        </w:rPr>
      </w:pPr>
      <w:r>
        <w:rPr>
          <w:sz w:val="20"/>
        </w:rPr>
        <w:t>(x)</w:t>
        <w:tab/>
        <w:t>if in any twelve (12) month period the Net Asset Value of Counterparty declines by more than 50 %; or</w:t>
      </w:r>
    </w:p>
    <w:p>
      <w:pPr>
        <w:pStyle w:val="Normal"/>
        <w:numPr>
          <w:ilvl w:val="0"/>
          <w:numId w:val="2"/>
        </w:numPr>
        <w:spacing w:before="120" w:after="0"/>
        <w:jc w:val="both"/>
        <w:rPr>
          <w:sz w:val="20"/>
        </w:rPr>
      </w:pPr>
      <w:r>
        <w:rPr>
          <w:sz w:val="20"/>
        </w:rPr>
        <w:t>if the ratio of Counterparty’s Liabilities to Net Asset Value is more than 10 to 1; or</w:t>
      </w:r>
    </w:p>
    <w:p>
      <w:pPr>
        <w:pStyle w:val="Normal"/>
        <w:spacing w:before="120" w:after="0"/>
        <w:ind w:firstLine="1530" w:start="-810" w:end="0"/>
        <w:jc w:val="both"/>
        <w:rPr>
          <w:sz w:val="20"/>
        </w:rPr>
      </w:pPr>
      <w:r>
        <w:rPr>
          <w:sz w:val="20"/>
        </w:rPr>
        <w:t>(xii)</w:t>
        <w:tab/>
        <w:t>if Counterparty’s Net Asset Value falls below U.S. $50,000,000; or</w:t>
      </w:r>
    </w:p>
    <w:p>
      <w:pPr>
        <w:pStyle w:val="Normal"/>
        <w:spacing w:before="120" w:after="0"/>
        <w:ind w:hanging="720" w:start="1440" w:end="0"/>
        <w:jc w:val="both"/>
        <w:rPr>
          <w:sz w:val="20"/>
        </w:rPr>
      </w:pPr>
      <w:r>
        <w:rPr>
          <w:sz w:val="20"/>
        </w:rPr>
        <w:t>(xiii)</w:t>
        <w:tab/>
        <w:t>if Counterparty’s Manager resigns, is terminated or is otherwise incapacitated for a period exceeding one month; or</w:t>
      </w:r>
    </w:p>
    <w:p>
      <w:pPr>
        <w:pStyle w:val="Normal"/>
        <w:spacing w:before="120" w:after="0"/>
        <w:ind w:hanging="720" w:start="1440" w:end="0"/>
        <w:jc w:val="both"/>
        <w:rPr>
          <w:sz w:val="20"/>
        </w:rPr>
      </w:pPr>
      <w:r>
        <w:rPr>
          <w:sz w:val="20"/>
        </w:rPr>
        <w:t>(xiv)</w:t>
        <w:tab/>
        <w:t>if Counterparty’s Management Agreement is terminated by either the Manager or Counterparty (including breach of the Management Agreement or the Investment Policy).”</w:t>
      </w:r>
    </w:p>
    <w:p>
      <w:pPr>
        <w:pStyle w:val="Normal"/>
        <w:tabs>
          <w:tab w:val="clear" w:pos="720"/>
          <w:tab w:val="left" w:pos="1440" w:leader="none"/>
          <w:tab w:val="left" w:pos="2160" w:leader="none"/>
          <w:tab w:val="left" w:pos="9000" w:leader="none"/>
        </w:tabs>
        <w:spacing w:lineRule="atLeast" w:line="240"/>
        <w:ind w:hanging="720" w:start="1440" w:end="0"/>
        <w:jc w:val="both"/>
        <w:rPr>
          <w:sz w:val="20"/>
        </w:rPr>
      </w:pPr>
      <w:r>
        <w:rPr>
          <w:sz w:val="20"/>
        </w:rPr>
      </w:r>
    </w:p>
    <w:p>
      <w:pPr>
        <w:pStyle w:val="Normal"/>
        <w:ind w:hanging="720" w:start="360" w:end="0"/>
        <w:jc w:val="both"/>
        <w:rPr>
          <w:sz w:val="20"/>
        </w:rPr>
      </w:pPr>
      <w:r>
        <w:rPr>
          <w:sz w:val="20"/>
        </w:rPr>
        <w:tab/>
        <w:t>(ii)</w:t>
        <w:tab/>
        <w:t>Cross Default:</w:t>
      </w:r>
    </w:p>
    <w:p>
      <w:pPr>
        <w:pStyle w:val="Normal"/>
        <w:ind w:hanging="720" w:start="720" w:end="0"/>
        <w:jc w:val="both"/>
        <w:rPr>
          <w:sz w:val="20"/>
        </w:rPr>
      </w:pPr>
      <w:r>
        <w:rPr>
          <w:sz w:val="20"/>
        </w:rPr>
      </w:r>
    </w:p>
    <w:p>
      <w:pPr>
        <w:pStyle w:val="Normal"/>
        <w:ind w:start="720" w:end="0"/>
        <w:jc w:val="both"/>
        <w:rPr/>
      </w:pPr>
      <w:r>
        <w:rPr>
          <w:sz w:val="20"/>
        </w:rPr>
        <w:t>The “Cross Default provisions of Section 5(a)(vi) of the ISDA Agreement will apply to Counterparty; and will apply to ENA and ENA’s Credit Support Provider.  Specified Indebtedness will have the meaning specified in Section 14 of the ISDA Agreement.  Threshold Amount means: with respect to ENA, U.S. $100,000,000 (or its equivalent in another currency); with respect to ENA's Credit Support Provider, U.S. $100,000,000 (or its equivalent in another currency)</w:t>
      </w:r>
      <w:r>
        <w:rPr>
          <w:color w:val="000000"/>
          <w:sz w:val="20"/>
        </w:rPr>
        <w:t xml:space="preserve">; </w:t>
      </w:r>
      <w:r>
        <w:rPr>
          <w:sz w:val="20"/>
        </w:rPr>
        <w:t xml:space="preserve">and with respect to Party B, U.S. $2,000,000 (or its equivalent in another currency); </w:t>
      </w:r>
      <w:r>
        <w:rPr>
          <w:sz w:val="20"/>
          <w:u w:val="single"/>
        </w:rPr>
        <w:t>provided</w:t>
      </w:r>
      <w:r>
        <w:rPr>
          <w:sz w:val="20"/>
        </w:rPr>
        <w:t xml:space="preserve">, </w:t>
      </w:r>
      <w:r>
        <w:rPr>
          <w:sz w:val="20"/>
          <w:u w:val="single"/>
        </w:rPr>
        <w:t>that,</w:t>
      </w:r>
      <w:r>
        <w:rPr>
          <w:sz w:val="20"/>
        </w:rPr>
        <w:t xml:space="preserve"> such Threshold Amount shall apply individually and not collectively with respect to each entity set forth above notwithstanding anything to the contrary set forth in Section 5(a)(vi) of the Master Agreement.</w:t>
      </w:r>
    </w:p>
    <w:p>
      <w:pPr>
        <w:pStyle w:val="Normal"/>
        <w:ind w:start="720" w:end="0"/>
        <w:jc w:val="both"/>
        <w:rPr>
          <w:sz w:val="20"/>
        </w:rPr>
      </w:pPr>
      <w:r>
        <w:rPr>
          <w:sz w:val="20"/>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sz w:val="20"/>
        </w:rPr>
        <w:t>2.</w:t>
        <w:tab/>
      </w:r>
      <w:r>
        <w:rPr>
          <w:sz w:val="20"/>
          <w:u w:val="single"/>
        </w:rPr>
        <w:t>Additional General Definitions</w:t>
      </w:r>
      <w:r>
        <w:rPr>
          <w:sz w:val="20"/>
        </w:rPr>
        <w:t>.  The following definitions are hereby added to Section 14 of the ISDA Agreement:</w:t>
      </w:r>
    </w:p>
    <w:p>
      <w:pPr>
        <w:pStyle w:val="Normal"/>
        <w:spacing w:lineRule="atLeast" w:line="240"/>
        <w:jc w:val="both"/>
        <w:rPr>
          <w:sz w:val="20"/>
        </w:rPr>
      </w:pPr>
      <w:r>
        <w:rPr>
          <w:sz w:val="20"/>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start="360" w:end="0"/>
        <w:jc w:val="both"/>
        <w:rPr>
          <w:b/>
          <w:sz w:val="20"/>
          <w:u w:val="single"/>
        </w:rPr>
      </w:pPr>
      <w:r>
        <w:rPr>
          <w:i/>
          <w:sz w:val="20"/>
        </w:rPr>
        <w:t>"</w:t>
      </w:r>
      <w:r>
        <w:rPr>
          <w:i/>
          <w:sz w:val="20"/>
          <w:u w:val="single"/>
        </w:rPr>
        <w:t>Credit Support Provider</w:t>
      </w:r>
      <w:r>
        <w:rPr>
          <w:i/>
          <w:sz w:val="20"/>
        </w:rPr>
        <w:t>"</w:t>
      </w:r>
      <w:r>
        <w:rPr>
          <w:sz w:val="20"/>
        </w:rPr>
        <w:t xml:space="preserve"> means, with respect to ENA only, Enron Corp.</w:t>
      </w:r>
    </w:p>
    <w:p>
      <w:pPr>
        <w:pStyle w:val="BodyTextIndent"/>
        <w:spacing w:lineRule="atLeast" w:line="240"/>
        <w:ind w:hanging="0" w:start="360" w:end="0"/>
        <w:rPr/>
      </w:pPr>
      <w:r>
        <w:rPr>
          <w:i/>
          <w:color w:val="000000"/>
        </w:rPr>
        <w:t>“</w:t>
      </w:r>
      <w:r>
        <w:rPr>
          <w:i/>
          <w:color w:val="000000"/>
          <w:u w:val="single"/>
        </w:rPr>
        <w:t>Investment Policy</w:t>
      </w:r>
      <w:r>
        <w:rPr>
          <w:i/>
          <w:color w:val="000000"/>
        </w:rPr>
        <w:t>”</w:t>
      </w:r>
      <w:r>
        <w:rPr>
          <w:b/>
          <w:color w:val="000000"/>
        </w:rPr>
        <w:t xml:space="preserve"> </w:t>
      </w:r>
      <w:r>
        <w:rPr>
          <w:color w:val="000000"/>
        </w:rPr>
        <w:t xml:space="preserve">means Counterparty’s investment objectives, restrictions and guidelines as set forth in Counterparty’s prospectus, which incorporates the use of derivative products, including swaps, options and other Transactions. </w:t>
      </w:r>
    </w:p>
    <w:p>
      <w:pPr>
        <w:pStyle w:val="Normal"/>
        <w:spacing w:lineRule="atLeast" w:line="240" w:before="240" w:after="0"/>
        <w:ind w:start="360" w:end="0"/>
        <w:jc w:val="both"/>
        <w:rPr/>
      </w:pPr>
      <w:r>
        <w:rPr>
          <w:i/>
          <w:sz w:val="20"/>
        </w:rPr>
        <w:t>“</w:t>
      </w:r>
      <w:r>
        <w:rPr>
          <w:i/>
          <w:sz w:val="20"/>
          <w:u w:val="single"/>
        </w:rPr>
        <w:t>Liabilities</w:t>
      </w:r>
      <w:r>
        <w:rPr>
          <w:i/>
          <w:sz w:val="20"/>
        </w:rPr>
        <w:t>”</w:t>
      </w:r>
      <w:r>
        <w:rPr>
          <w:b/>
          <w:sz w:val="20"/>
        </w:rPr>
        <w:t xml:space="preserve"> </w:t>
      </w:r>
      <w:r>
        <w:rPr>
          <w:sz w:val="20"/>
        </w:rPr>
        <w:t>means all liabilities of Counterparty, including, but not limited to, accrued expenses, amounts due to brokers, redemptions payable, commodity options written, and all fees and commissions payable.</w:t>
      </w:r>
    </w:p>
    <w:p>
      <w:pPr>
        <w:pStyle w:val="Normal"/>
        <w:spacing w:lineRule="atLeast" w:line="240" w:before="240" w:after="0"/>
        <w:ind w:start="360" w:end="0"/>
        <w:jc w:val="both"/>
        <w:rPr/>
      </w:pPr>
      <w:r>
        <w:rPr>
          <w:i/>
          <w:sz w:val="20"/>
        </w:rPr>
        <w:t>“</w:t>
      </w:r>
      <w:r>
        <w:rPr>
          <w:i/>
          <w:sz w:val="20"/>
          <w:u w:val="single"/>
        </w:rPr>
        <w:t>Management Agreement</w:t>
      </w:r>
      <w:r>
        <w:rPr>
          <w:i/>
          <w:sz w:val="20"/>
        </w:rPr>
        <w:t>”</w:t>
      </w:r>
      <w:r>
        <w:rPr>
          <w:b/>
          <w:sz w:val="20"/>
        </w:rPr>
        <w:t xml:space="preserve"> </w:t>
      </w:r>
      <w:r>
        <w:rPr>
          <w:sz w:val="20"/>
        </w:rPr>
        <w:t>means that certain agreement dated ____________ between Counterparty and the Manager for managing the operations and affairs of Counterparty.</w:t>
      </w:r>
    </w:p>
    <w:p>
      <w:pPr>
        <w:pStyle w:val="BodyTextIndent"/>
        <w:spacing w:lineRule="atLeast" w:line="240"/>
        <w:ind w:hanging="0" w:start="360" w:end="0"/>
        <w:rPr/>
      </w:pPr>
      <w:r>
        <w:rPr>
          <w:i/>
          <w:color w:val="000000"/>
        </w:rPr>
        <w:t>“</w:t>
      </w:r>
      <w:r>
        <w:rPr>
          <w:i/>
          <w:color w:val="000000"/>
          <w:u w:val="single"/>
        </w:rPr>
        <w:t>Manager</w:t>
      </w:r>
      <w:r>
        <w:rPr>
          <w:i/>
          <w:color w:val="000000"/>
        </w:rPr>
        <w:t>”</w:t>
      </w:r>
      <w:r>
        <w:rPr>
          <w:b/>
          <w:color w:val="000000"/>
        </w:rPr>
        <w:t xml:space="preserve"> </w:t>
      </w:r>
      <w:r>
        <w:rPr>
          <w:color w:val="000000"/>
        </w:rPr>
        <w:t>means Catequil Asset Management, L.P., together with the managing members as of the date of this Agreement of Catequil GP, LLC, the general partner of Catequil Asset Management, L.P.</w:t>
      </w:r>
    </w:p>
    <w:p>
      <w:pPr>
        <w:pStyle w:val="Normal"/>
        <w:jc w:val="both"/>
        <w:rPr>
          <w:color w:val="000000"/>
          <w:sz w:val="20"/>
        </w:rPr>
      </w:pPr>
      <w:r>
        <w:rPr>
          <w:color w:val="000000"/>
          <w:sz w:val="20"/>
        </w:rPr>
      </w:r>
    </w:p>
    <w:p>
      <w:pPr>
        <w:pStyle w:val="Normal"/>
        <w:ind w:start="360" w:end="0"/>
        <w:jc w:val="both"/>
        <w:rPr/>
      </w:pPr>
      <w:r>
        <w:rPr>
          <w:i/>
          <w:sz w:val="20"/>
        </w:rPr>
        <w:t xml:space="preserve"> “</w:t>
      </w:r>
      <w:r>
        <w:rPr>
          <w:i/>
          <w:sz w:val="20"/>
          <w:u w:val="single"/>
        </w:rPr>
        <w:t>Net Asset Value</w:t>
      </w:r>
      <w:r>
        <w:rPr>
          <w:i/>
          <w:sz w:val="20"/>
        </w:rPr>
        <w:t>”</w:t>
      </w:r>
      <w:r>
        <w:rPr>
          <w:b/>
          <w:sz w:val="20"/>
        </w:rPr>
        <w:t xml:space="preserve"> </w:t>
      </w:r>
      <w:r>
        <w:rPr>
          <w:sz w:val="20"/>
        </w:rPr>
        <w:t>means means, as of the relevant date of determination, an amount (expressed in U.S. Dollars) equal to the sum of Counterparty’s total assets minus Counterparty’s total liabilities.</w:t>
      </w:r>
    </w:p>
    <w:p>
      <w:pPr>
        <w:pStyle w:val="Normal"/>
        <w:ind w:start="360" w:end="0"/>
        <w:jc w:val="both"/>
        <w:rPr>
          <w:i/>
          <w:i/>
          <w:sz w:val="20"/>
        </w:rPr>
      </w:pPr>
      <w:r>
        <w:rPr>
          <w:i/>
          <w:sz w:val="20"/>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sz w:val="20"/>
          <w:u w:val="single"/>
        </w:rPr>
      </w:pPr>
      <w:r>
        <w:rPr>
          <w:sz w:val="20"/>
        </w:rPr>
        <w:t>3.</w:t>
        <w:tab/>
      </w:r>
      <w:r>
        <w:rPr>
          <w:sz w:val="20"/>
          <w:u w:val="single"/>
        </w:rPr>
        <w:t>Credit Support Documents</w:t>
      </w:r>
      <w:r>
        <w:rPr>
          <w:sz w:val="20"/>
        </w:rPr>
        <w:t>.  The following Sections are hereby added to Paragraph 14 of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b/>
          <w:sz w:val="20"/>
          <w:u w:val="single"/>
        </w:rPr>
      </w:pPr>
      <w:r>
        <w:rPr>
          <w:b/>
          <w:sz w:val="20"/>
          <w:u w:val="single"/>
        </w:rPr>
      </w:r>
    </w:p>
    <w:p>
      <w:pPr>
        <w:pStyle w:val="Normal"/>
        <w:ind w:start="360" w:end="0"/>
        <w:jc w:val="both"/>
        <w:rPr/>
      </w:pPr>
      <w:r>
        <w:rPr>
          <w:sz w:val="20"/>
        </w:rPr>
        <w:t>"</w:t>
      </w:r>
      <w:r>
        <w:rPr>
          <w:sz w:val="20"/>
          <w:u w:val="single"/>
        </w:rPr>
        <w:t>Credit Support Documents - Collateral Annex</w:t>
      </w:r>
      <w:r>
        <w:rPr>
          <w:sz w:val="20"/>
        </w:rPr>
        <w:t>.  Counterparty and ENA shall establish, maintain, renew, substitute and increase Performance Assurance as (and only to the extent) required by Annex B-1, which shall be a Credit Support Document."</w:t>
      </w:r>
    </w:p>
    <w:p>
      <w:pPr>
        <w:pStyle w:val="Normal"/>
        <w:jc w:val="both"/>
        <w:rPr>
          <w:sz w:val="20"/>
        </w:rPr>
      </w:pPr>
      <w:r>
        <w:rPr>
          <w:sz w:val="20"/>
        </w:rPr>
      </w:r>
    </w:p>
    <w:p>
      <w:pPr>
        <w:pStyle w:val="Normal"/>
        <w:ind w:start="360" w:end="0"/>
        <w:jc w:val="both"/>
        <w:rPr/>
      </w:pPr>
      <w:r>
        <w:rPr>
          <w:sz w:val="20"/>
        </w:rPr>
        <w:t>"</w:t>
      </w:r>
      <w:r>
        <w:rPr>
          <w:sz w:val="20"/>
          <w:u w:val="single"/>
        </w:rPr>
        <w:t>Credit Support Documents - Guaranty</w:t>
      </w:r>
      <w:r>
        <w:rPr>
          <w:sz w:val="20"/>
        </w:rPr>
        <w:t>.  Within ten (10) Business Days of the date of this Confirmation, ENA shall cause to be delivered to Counterparty the duly executed guaranty (</w:t>
      </w:r>
      <w:r>
        <w:rPr>
          <w:i/>
          <w:sz w:val="20"/>
        </w:rPr>
        <w:t>"</w:t>
      </w:r>
      <w:r>
        <w:rPr>
          <w:i/>
          <w:sz w:val="20"/>
          <w:u w:val="single"/>
        </w:rPr>
        <w:t>Guaranty</w:t>
      </w:r>
      <w:r>
        <w:rPr>
          <w:i/>
          <w:sz w:val="20"/>
        </w:rPr>
        <w:t>"</w:t>
      </w:r>
      <w:r>
        <w:rPr>
          <w:sz w:val="20"/>
        </w:rPr>
        <w:t>) from its Credit Support Provider in favor of Counterparty in the form attached as Annex B-2, which shall be a Credit Support Document."</w:t>
      </w:r>
    </w:p>
    <w:p>
      <w:pPr>
        <w:pStyle w:val="Normal"/>
        <w:jc w:val="both"/>
        <w:rPr>
          <w:sz w:val="20"/>
        </w:rPr>
      </w:pPr>
      <w:r>
        <w:rPr>
          <w:sz w:val="20"/>
        </w:rPr>
      </w:r>
    </w:p>
    <w:p>
      <w:pPr>
        <w:pStyle w:val="Normal"/>
        <w:jc w:val="both"/>
        <w:rPr/>
      </w:pPr>
      <w:r>
        <w:rPr>
          <w:sz w:val="20"/>
        </w:rPr>
        <w:t>4.</w:t>
        <w:tab/>
      </w:r>
      <w:r>
        <w:rPr>
          <w:sz w:val="20"/>
          <w:u w:val="single"/>
        </w:rPr>
        <w:t>Financial Information</w:t>
      </w:r>
      <w:r>
        <w:rPr>
          <w:sz w:val="20"/>
        </w:rPr>
        <w:t>.</w:t>
      </w:r>
    </w:p>
    <w:p>
      <w:pPr>
        <w:pStyle w:val="Normal"/>
        <w:ind w:hanging="720" w:start="720" w:end="0"/>
        <w:jc w:val="both"/>
        <w:rPr>
          <w:b/>
          <w:sz w:val="20"/>
        </w:rPr>
      </w:pPr>
      <w:r>
        <w:rPr>
          <w:b/>
          <w:sz w:val="20"/>
        </w:rPr>
      </w:r>
    </w:p>
    <w:p>
      <w:pPr>
        <w:pStyle w:val="Normal"/>
        <w:jc w:val="both"/>
        <w:rPr>
          <w:sz w:val="20"/>
        </w:rPr>
      </w:pPr>
      <w:r>
        <w:rPr>
          <w:sz w:val="20"/>
        </w:rPr>
        <w:tab/>
        <w:t>The following documents are hereby required to be delivered pursuant to Section 4(a) of the ISDA Agreement:</w:t>
      </w:r>
    </w:p>
    <w:p>
      <w:pPr>
        <w:pStyle w:val="Normal"/>
        <w:jc w:val="both"/>
        <w:rPr>
          <w:sz w:val="20"/>
        </w:rPr>
      </w:pPr>
      <w:r>
        <w:rPr>
          <w:sz w:val="20"/>
        </w:rPr>
      </w:r>
    </w:p>
    <w:p>
      <w:pPr>
        <w:sectPr>
          <w:headerReference w:type="default" r:id="rId16"/>
          <w:headerReference w:type="first" r:id="rId17"/>
          <w:footerReference w:type="default" r:id="rId18"/>
          <w:footerReference w:type="first" r:id="rId19"/>
          <w:type w:val="nextPage"/>
          <w:pgSz w:w="12240" w:h="15840"/>
          <w:pgMar w:left="1440" w:right="1440" w:gutter="0" w:header="720" w:top="1440" w:footer="720" w:bottom="1440"/>
          <w:pgNumType w:start="1" w:fmt="decimal"/>
          <w:formProt w:val="false"/>
          <w:textDirection w:val="lrTb"/>
          <w:docGrid w:type="default" w:linePitch="360" w:charSpace="0"/>
        </w:sectPr>
        <w:pStyle w:val="Normal"/>
        <w:ind w:start="360" w:end="0"/>
        <w:jc w:val="both"/>
        <w:rPr/>
      </w:pPr>
      <w:r>
        <w:rPr>
          <w:sz w:val="20"/>
        </w:rPr>
        <w:t>"(iv)</w:t>
        <w:tab/>
        <w:t>Upon written request, each party shall deliver to the other (i) as soon as available and in any event within 120 days after the end of its (or in the case of ENA, Enron Corp.'s) fiscal year a copy of its (or in the case of ENA, Enron Corp.'s) annual consolidated financial statements for such fiscal year (and the annual report, if any, and notes thereto) certified by independent certified public accountants and prepared in accordance with generally accepted accounting principles, consistently applied (</w:t>
      </w:r>
      <w:r>
        <w:rPr>
          <w:i/>
          <w:sz w:val="20"/>
        </w:rPr>
        <w:t>"</w:t>
      </w:r>
      <w:r>
        <w:rPr>
          <w:i/>
          <w:sz w:val="20"/>
          <w:u w:val="single"/>
        </w:rPr>
        <w:t>GAAP</w:t>
      </w:r>
      <w:r>
        <w:rPr>
          <w:i/>
          <w:sz w:val="20"/>
        </w:rPr>
        <w:t>"</w:t>
      </w:r>
      <w:r>
        <w:rPr>
          <w:sz w:val="20"/>
        </w:rPr>
        <w:t xml:space="preserve">), and further with respect to ENA, only if Enron Corp.’s annual consolidated financial statements are not available on “EDGAR” or Enron Corp.’s home page on the World Wide Web at www.enron.com;  (ii) as soon as available and in any event within sixty (60) days after the end of each of its (or in the case of ENA, Enron Corp.'s) first three fiscal quarters of each fiscal year, copies of its (or in the case of ENA, Enron Corp.'s) quarterly reports containing unaudited consolidated financial statements for such fiscal quarter prepared in accordance with GAAP, and further with respect to ENA, only if Enron Corp.'s quarterly unaudited consolidated financial statements are not available on “EDGAR” or Enron Corp.’s home page on the World Wide Web at </w:t>
      </w:r>
      <w:hyperlink r:id="rId15">
        <w:r>
          <w:rPr>
            <w:rStyle w:val="Hyperlink"/>
            <w:sz w:val="20"/>
          </w:rPr>
          <w:t>www.enron.com</w:t>
        </w:r>
      </w:hyperlink>
      <w:r>
        <w:rPr>
          <w:sz w:val="20"/>
        </w:rPr>
        <w:t>; (iii) such other publicly available financial information as the other party may reasonably request; and (iv) promptly following demand by ENA, but in no event later than twenty (20) days after the end of each month, monthly account statements detailing, at a minimum, the Net Income of Counterparty for the relevant month, with detail on the change, if any, in the Net Asset Value; such detail should include the Net Asset Value at the start of each month, the Net Asset Value at the end of each month, redemptions, additional investments, distributions, and all other specific items of information required to calculate the Net Asset Value at the end of the month from the Net Asset Value at the beginning of the month.”</w:t>
      </w:r>
    </w:p>
    <w:p>
      <w:pPr>
        <w:pStyle w:val="Normal"/>
        <w:jc w:val="center"/>
        <w:rPr>
          <w:b/>
          <w:sz w:val="20"/>
        </w:rPr>
      </w:pPr>
      <w:r>
        <w:rPr>
          <w:b/>
          <w:sz w:val="20"/>
          <w:u w:val="single"/>
        </w:rPr>
        <w:t>ANNEX B-1</w:t>
      </w:r>
    </w:p>
    <w:p>
      <w:pPr>
        <w:pStyle w:val="Normal"/>
        <w:jc w:val="center"/>
        <w:rPr>
          <w:sz w:val="20"/>
        </w:rPr>
      </w:pPr>
      <w:r>
        <w:rPr>
          <w:b/>
          <w:sz w:val="20"/>
          <w:u w:val="single"/>
        </w:rPr>
        <w:t>COLLATERAL AND EXPOSURE PROVISIONS</w:t>
      </w:r>
    </w:p>
    <w:p>
      <w:pPr>
        <w:pStyle w:val="Normal"/>
        <w:jc w:val="center"/>
        <w:rPr>
          <w:sz w:val="20"/>
        </w:rPr>
      </w:pPr>
      <w:r>
        <w:rPr>
          <w:sz w:val="20"/>
        </w:rPr>
      </w:r>
    </w:p>
    <w:p>
      <w:pPr>
        <w:pStyle w:val="BodyText"/>
        <w:rPr/>
      </w:pPr>
      <w:r>
        <w:rPr/>
        <w:tab/>
        <w:t>This Annex B-1 supplements, forms part of, and is incorporated into the Confirmation to which it is attached.  Capitalized terms used in this Annex but not defined herein shall have the meanings given to them in the Confirmation or the ISDA Agreement (including all Annexes); provided upon execution of the ISDA Agreement by the parties (i) all Additional Amounts shall automatically become Independent Amounts under, and as defined in, the ISDA Agreement, and (ii) all Performance Assurance held by a party pursuant to the terms hereof shall automatically become Posted Credit Support under, and as defined in, the ISDA Agreement.</w:t>
      </w:r>
    </w:p>
    <w:p>
      <w:pPr>
        <w:pStyle w:val="Normal"/>
        <w:jc w:val="both"/>
        <w:rPr>
          <w:sz w:val="20"/>
        </w:rPr>
      </w:pPr>
      <w:r>
        <w:rPr>
          <w:sz w:val="20"/>
        </w:rPr>
      </w:r>
    </w:p>
    <w:p>
      <w:pPr>
        <w:pStyle w:val="Normal"/>
        <w:jc w:val="both"/>
        <w:rPr>
          <w:sz w:val="20"/>
        </w:rPr>
      </w:pPr>
      <w:r>
        <w:rPr>
          <w:sz w:val="20"/>
        </w:rPr>
      </w:r>
    </w:p>
    <w:p>
      <w:pPr>
        <w:pStyle w:val="Normal"/>
        <w:jc w:val="both"/>
        <w:rPr/>
      </w:pPr>
      <w:r>
        <w:rPr>
          <w:sz w:val="20"/>
        </w:rPr>
        <w:tab/>
        <w:t xml:space="preserve">1.  </w:t>
      </w:r>
      <w:r>
        <w:rPr>
          <w:sz w:val="20"/>
          <w:u w:val="single"/>
        </w:rPr>
        <w:t>Certain Definitions</w:t>
      </w:r>
      <w:r>
        <w:rPr>
          <w:sz w:val="20"/>
        </w:rPr>
        <w:t>.  As used herein:</w:t>
      </w:r>
    </w:p>
    <w:p>
      <w:pPr>
        <w:pStyle w:val="Normal"/>
        <w:jc w:val="both"/>
        <w:rPr>
          <w:sz w:val="20"/>
        </w:rPr>
      </w:pPr>
      <w:r>
        <w:rPr>
          <w:sz w:val="20"/>
        </w:rPr>
      </w:r>
    </w:p>
    <w:p>
      <w:pPr>
        <w:pStyle w:val="Normal"/>
        <w:tabs>
          <w:tab w:val="left" w:pos="720" w:leader="none"/>
        </w:tabs>
        <w:ind w:hanging="1440" w:start="1440" w:end="0"/>
        <w:jc w:val="both"/>
        <w:rPr/>
      </w:pPr>
      <w:r>
        <w:rPr>
          <w:i/>
          <w:sz w:val="20"/>
        </w:rPr>
        <w:tab/>
      </w:r>
      <w:r>
        <w:rPr>
          <w:sz w:val="20"/>
        </w:rPr>
        <w:t>(a)</w:t>
        <w:tab/>
      </w:r>
      <w:r>
        <w:rPr>
          <w:i/>
          <w:sz w:val="20"/>
        </w:rPr>
        <w:t>"</w:t>
      </w:r>
      <w:r>
        <w:rPr>
          <w:i/>
          <w:sz w:val="20"/>
          <w:u w:val="single"/>
        </w:rPr>
        <w:t>Additional Amount</w:t>
      </w:r>
      <w:r>
        <w:rPr>
          <w:i/>
          <w:sz w:val="20"/>
        </w:rPr>
        <w:t>"</w:t>
      </w:r>
      <w:r>
        <w:rPr>
          <w:sz w:val="20"/>
        </w:rPr>
        <w:t xml:space="preserve"> shall mean, with respect to ENA, the amount specified as such for ENA in each Confirmation, or if no amount is specified, zero and means with respect to Counterparty, the amount calculated as follows: on any Business Day, ENA shall have the right to adjust the Independent Amount due from Counterparty due to changes in the volatility of relevant markets or of Counterparty’s portfolio of transactions with ENA (“Counterparty’s Portfolio”).  ENA will calculate such Independent Amount based on its internal Value at Risk (“VAR”) calculation for up to ten (10) days of VAR with respect to Counterparty’s Portfolio, provided, however, that in no event shall Counterparty’s Additional Amount be less than $250,000 if there are any outstanding transactions.</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(b)</w:t>
        <w:tab/>
        <w:t>“</w:t>
      </w:r>
      <w:r>
        <w:rPr>
          <w:i/>
          <w:sz w:val="20"/>
          <w:u w:val="single"/>
        </w:rPr>
        <w:t>Business Day</w:t>
      </w:r>
      <w:r>
        <w:rPr>
          <w:sz w:val="20"/>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sz w:val="20"/>
        </w:rPr>
      </w:pPr>
      <w:r>
        <w:rPr>
          <w:sz w:val="20"/>
        </w:rPr>
        <w:t xml:space="preserve"> </w:t>
      </w:r>
    </w:p>
    <w:p>
      <w:pPr>
        <w:pStyle w:val="Normal"/>
        <w:tabs>
          <w:tab w:val="left" w:pos="720" w:leader="none"/>
        </w:tabs>
        <w:ind w:hanging="1440" w:start="1440" w:end="0"/>
        <w:jc w:val="both"/>
        <w:rPr/>
      </w:pPr>
      <w:r>
        <w:rPr>
          <w:sz w:val="20"/>
        </w:rPr>
        <w:tab/>
        <w:t>(c)</w:t>
        <w:tab/>
        <w:t xml:space="preserve">The </w:t>
      </w:r>
      <w:r>
        <w:rPr>
          <w:i/>
          <w:sz w:val="20"/>
        </w:rPr>
        <w:t>"</w:t>
      </w:r>
      <w:r>
        <w:rPr>
          <w:i/>
          <w:sz w:val="20"/>
          <w:u w:val="single"/>
        </w:rPr>
        <w:t>Collateral Requirement</w:t>
      </w:r>
      <w:r>
        <w:rPr>
          <w:i/>
          <w:sz w:val="20"/>
        </w:rPr>
        <w:t>"</w:t>
      </w:r>
      <w:r>
        <w:rPr>
          <w:sz w:val="20"/>
        </w:rPr>
        <w:t xml:space="preserve"> for a Non-Exposed Party shall mean the excess, if any, of (i) (x) the Exposed Party’s Net Exposure plus (y) the aggregate of all Additional Amounts applicable to the Non-Exposed Party minus (ii) the Non-Exposed Party’s Exposure Threshold; plus the sum of (y) any Cash previously delivered to the Exposed Party and not returned pursuant to Section 2(b) of this Annex and any Interest Amount that has not been delivered to the Non-Exposed Party; and (z) any Cash held by the Exposed Party pursuant to Section 4(d)(ii) of this Annex.</w:t>
      </w:r>
    </w:p>
    <w:p>
      <w:pPr>
        <w:pStyle w:val="Normal"/>
        <w:jc w:val="both"/>
        <w:rPr>
          <w:sz w:val="20"/>
        </w:rPr>
      </w:pPr>
      <w:r>
        <w:rPr>
          <w:sz w:val="20"/>
        </w:rPr>
      </w:r>
    </w:p>
    <w:p>
      <w:pPr>
        <w:pStyle w:val="Normal"/>
        <w:tabs>
          <w:tab w:val="left" w:pos="720" w:leader="none"/>
        </w:tabs>
        <w:ind w:hanging="1440" w:start="1440" w:end="0"/>
        <w:jc w:val="both"/>
        <w:rPr/>
      </w:pPr>
      <w:r>
        <w:rPr>
          <w:sz w:val="20"/>
        </w:rPr>
        <w:tab/>
        <w:t>(d)</w:t>
        <w:tab/>
        <w:t xml:space="preserve">The </w:t>
      </w:r>
      <w:r>
        <w:rPr>
          <w:i/>
          <w:sz w:val="20"/>
        </w:rPr>
        <w:t>"</w:t>
      </w:r>
      <w:r>
        <w:rPr>
          <w:i/>
          <w:sz w:val="20"/>
          <w:u w:val="single"/>
        </w:rPr>
        <w:t>Current Value</w:t>
      </w:r>
      <w:r>
        <w:rPr>
          <w:i/>
          <w:sz w:val="20"/>
        </w:rPr>
        <w:t>"</w:t>
      </w:r>
      <w:r>
        <w:rPr>
          <w:sz w:val="20"/>
        </w:rPr>
        <w:t xml:space="preserve">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incomplete Determination Periods and that such Swap is in all other respects identical to the outstanding Swap.</w:t>
      </w:r>
    </w:p>
    <w:p>
      <w:pPr>
        <w:pStyle w:val="Normal"/>
        <w:jc w:val="both"/>
        <w:rPr>
          <w:sz w:val="20"/>
        </w:rPr>
      </w:pPr>
      <w:r>
        <w:rPr>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sz w:val="20"/>
        </w:rPr>
        <w:tab/>
        <w:t>(e)</w:t>
        <w:tab/>
      </w:r>
      <w:r>
        <w:rPr>
          <w:i/>
          <w:sz w:val="20"/>
        </w:rPr>
        <w:t>"</w:t>
      </w:r>
      <w:r>
        <w:rPr>
          <w:i/>
          <w:sz w:val="20"/>
          <w:u w:val="single"/>
        </w:rPr>
        <w:t>Exposure</w:t>
      </w:r>
      <w:r>
        <w:rPr>
          <w:i/>
          <w:sz w:val="20"/>
        </w:rPr>
        <w:t>"</w:t>
      </w:r>
      <w:r>
        <w:rPr>
          <w:sz w:val="20"/>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sz w:val="20"/>
        </w:rPr>
      </w:pPr>
      <w:r>
        <w:rPr>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0"/>
        </w:rPr>
      </w:pPr>
      <w:r>
        <w:rPr>
          <w:sz w:val="20"/>
        </w:rPr>
        <w:t>To the extent that a Swap is covered in part by clause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0"/>
        </w:rPr>
      </w:pPr>
      <w:r>
        <w:rPr>
          <w:sz w:val="20"/>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sz w:val="20"/>
        </w:rPr>
        <w:t>(f)</w:t>
        <w:tab/>
      </w:r>
      <w:r>
        <w:rPr>
          <w:i/>
          <w:sz w:val="20"/>
        </w:rPr>
        <w:t>"</w:t>
      </w:r>
      <w:r>
        <w:rPr>
          <w:i/>
          <w:sz w:val="20"/>
          <w:u w:val="single"/>
        </w:rPr>
        <w:t>Exposure Threshold</w:t>
      </w:r>
      <w:r>
        <w:rPr>
          <w:i/>
          <w:sz w:val="20"/>
        </w:rPr>
        <w:t>"</w:t>
      </w:r>
      <w:r>
        <w:rPr>
          <w:sz w:val="20"/>
        </w:rPr>
        <w:t xml:space="preserve"> shall mean, with respect to (i) ENA, $0 and (ii) Counterparty, $0.  The Exposure Threshold assigned to a party shall be the threshold applied to such party for all Swaps in the aggregate.</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(g)</w:t>
        <w:tab/>
      </w:r>
      <w:r>
        <w:rPr>
          <w:i/>
          <w:sz w:val="20"/>
        </w:rPr>
        <w:t>"</w:t>
      </w:r>
      <w:r>
        <w:rPr>
          <w:i/>
          <w:sz w:val="20"/>
          <w:u w:val="single"/>
        </w:rPr>
        <w:t>Exposure Amount</w:t>
      </w:r>
      <w:r>
        <w:rPr>
          <w:i/>
          <w:sz w:val="20"/>
        </w:rPr>
        <w:t>"</w:t>
      </w:r>
      <w:r>
        <w:rPr>
          <w:sz w:val="20"/>
        </w:rPr>
        <w:t xml:space="preserve"> for each party shall be calculated for all Swaps by calculating each party's Exposure to the other party in respect of all Swaps.  The party having the greater Exposure Amount at any time (the </w:t>
      </w:r>
      <w:r>
        <w:rPr>
          <w:i/>
          <w:sz w:val="20"/>
        </w:rPr>
        <w:t>"</w:t>
      </w:r>
      <w:r>
        <w:rPr>
          <w:i/>
          <w:sz w:val="20"/>
          <w:u w:val="single"/>
        </w:rPr>
        <w:t>Exposed Party</w:t>
      </w:r>
      <w:r>
        <w:rPr>
          <w:i/>
          <w:sz w:val="20"/>
        </w:rPr>
        <w:t>"</w:t>
      </w:r>
      <w:r>
        <w:rPr>
          <w:sz w:val="20"/>
        </w:rPr>
        <w:t xml:space="preserve">) shall be deemed to have a "Net Exposure" to the other party (the </w:t>
      </w:r>
      <w:r>
        <w:rPr>
          <w:i/>
          <w:sz w:val="20"/>
        </w:rPr>
        <w:t>"</w:t>
      </w:r>
      <w:r>
        <w:rPr>
          <w:i/>
          <w:sz w:val="20"/>
          <w:u w:val="single"/>
        </w:rPr>
        <w:t>Non-Exposed Party</w:t>
      </w:r>
      <w:r>
        <w:rPr>
          <w:i/>
          <w:sz w:val="20"/>
        </w:rPr>
        <w:t>"</w:t>
      </w:r>
      <w:r>
        <w:rPr>
          <w:sz w:val="20"/>
        </w:rPr>
        <w:t>) equal to the difference between its Exposure Amount and the other party's Exposure Amount.</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(h)</w:t>
        <w:tab/>
        <w:t>"</w:t>
      </w:r>
      <w:r>
        <w:rPr>
          <w:i/>
          <w:sz w:val="20"/>
          <w:u w:val="single"/>
        </w:rPr>
        <w:t>Interest Amount</w:t>
      </w:r>
      <w:r>
        <w:rPr>
          <w:sz w:val="20"/>
        </w:rPr>
        <w: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held by the Exposed Party on that day; multiplied by (y) the Interest Rate (as defined herein) for that day: divided by (z) 360.  "</w:t>
      </w:r>
      <w:r>
        <w:rPr>
          <w:i/>
          <w:sz w:val="20"/>
          <w:u w:val="single"/>
        </w:rPr>
        <w:t>Interest Period</w:t>
      </w:r>
      <w:r>
        <w:rPr>
          <w:sz w:val="20"/>
        </w:rPr>
        <w:t>"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w:t>
      </w:r>
      <w:r>
        <w:rPr>
          <w:i/>
          <w:sz w:val="20"/>
          <w:u w:val="single"/>
        </w:rPr>
        <w:t>Interest Rate</w:t>
      </w:r>
      <w:r>
        <w:rPr>
          <w:sz w:val="20"/>
        </w:rPr>
        <w:t>" shall be the Federal Funds Overnight Rate as from time to time in effect.  "</w:t>
      </w:r>
      <w:r>
        <w:rPr>
          <w:i/>
          <w:sz w:val="20"/>
          <w:u w:val="single"/>
        </w:rPr>
        <w:t>Federal Funds Overnight Rate</w:t>
      </w:r>
      <w:r>
        <w:rPr>
          <w:sz w:val="20"/>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1440" w:start="1440" w:end="0"/>
        <w:jc w:val="both"/>
        <w:rPr>
          <w:sz w:val="20"/>
        </w:rPr>
      </w:pPr>
      <w:r>
        <w:rPr>
          <w:sz w:val="20"/>
        </w:rPr>
      </w:r>
    </w:p>
    <w:p>
      <w:pPr>
        <w:pStyle w:val="Normal"/>
        <w:ind w:hanging="720" w:start="1440" w:end="0"/>
        <w:jc w:val="both"/>
        <w:rPr/>
      </w:pPr>
      <w:r>
        <w:rPr>
          <w:sz w:val="20"/>
        </w:rPr>
        <w:t>(i)</w:t>
        <w:tab/>
        <w:t>"</w:t>
      </w:r>
      <w:r>
        <w:rPr>
          <w:i/>
          <w:sz w:val="20"/>
          <w:u w:val="single"/>
        </w:rPr>
        <w:t>Performance Assurance</w:t>
      </w:r>
      <w:r>
        <w:rPr>
          <w:sz w:val="20"/>
        </w:rPr>
        <w:t>" means (i) all Cash that has been Transferred to or received by the Exposed Party and not Transferred to the Non-Exposed Party pursuant to Section 2(b) of this Annex or released by the Exposed Party; (ii) any Interest Amount or portion thereof that has not been Transferred pursuant to Section 3(b) of this Annex and any Cash received by the Exposed Party pursuant to Section 4 of this Annex; and (iii) all proceeds of all of the foregoing property that have been Transferred to or received by the Exposed Party hereunder.</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(j)</w:t>
        <w:tab/>
      </w:r>
      <w:r>
        <w:rPr>
          <w:i/>
          <w:sz w:val="20"/>
        </w:rPr>
        <w:t>"</w:t>
      </w:r>
      <w:r>
        <w:rPr>
          <w:i/>
          <w:sz w:val="20"/>
          <w:u w:val="single"/>
        </w:rPr>
        <w:t>Swaps</w:t>
      </w:r>
      <w:r>
        <w:rPr>
          <w:i/>
          <w:sz w:val="20"/>
        </w:rPr>
        <w:t>"</w:t>
      </w:r>
      <w:r>
        <w:rPr>
          <w:sz w:val="20"/>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sz w:val="20"/>
          <w:u w:val="single"/>
        </w:rPr>
        <w:t>Swap</w:t>
      </w:r>
      <w:r>
        <w:rPr>
          <w:sz w:val="20"/>
        </w:rPr>
        <w:t>" shall mean any of the Swaps.</w:t>
      </w:r>
    </w:p>
    <w:p>
      <w:pPr>
        <w:pStyle w:val="Normal"/>
        <w:spacing w:before="240" w:after="0"/>
        <w:ind w:hanging="720" w:start="1440" w:end="0"/>
        <w:jc w:val="both"/>
        <w:rPr/>
      </w:pPr>
      <w:r>
        <w:rPr>
          <w:sz w:val="20"/>
        </w:rPr>
        <w:t>(k)</w:t>
        <w:tab/>
      </w:r>
      <w:r>
        <w:rPr>
          <w:i/>
          <w:sz w:val="20"/>
        </w:rPr>
        <w:t>"</w:t>
      </w:r>
      <w:r>
        <w:rPr>
          <w:i/>
          <w:sz w:val="20"/>
          <w:u w:val="single"/>
        </w:rPr>
        <w:t>Transfer</w:t>
      </w:r>
      <w:r>
        <w:rPr>
          <w:i/>
          <w:sz w:val="20"/>
        </w:rPr>
        <w:t>"</w:t>
      </w:r>
      <w:r>
        <w:rPr>
          <w:sz w:val="20"/>
        </w:rPr>
        <w:t xml:space="preserve"> shall mean, with respect to any Performance Assurance or Interest Amount, and in accordance with the instructions of ENA or Counterparty, as applicable, payment or delivery by wire transfer into one or more bank accounts specified by the recipient.</w:t>
      </w:r>
    </w:p>
    <w:p>
      <w:pPr>
        <w:pStyle w:val="Normal"/>
        <w:tabs>
          <w:tab w:val="left" w:pos="720" w:leader="none"/>
        </w:tabs>
        <w:ind w:hanging="1440" w:start="1440" w:end="0"/>
        <w:jc w:val="both"/>
        <w:rPr>
          <w:i/>
          <w:i/>
          <w:sz w:val="20"/>
        </w:rPr>
      </w:pPr>
      <w:r>
        <w:rPr>
          <w:i/>
          <w:sz w:val="20"/>
        </w:rPr>
      </w:r>
    </w:p>
    <w:p>
      <w:pPr>
        <w:pStyle w:val="Normal"/>
        <w:tabs>
          <w:tab w:val="left" w:pos="720" w:leader="none"/>
        </w:tabs>
        <w:ind w:hanging="1440" w:start="1440" w:end="0"/>
        <w:jc w:val="both"/>
        <w:rPr>
          <w:sz w:val="20"/>
        </w:rPr>
      </w:pPr>
      <w:r>
        <w:rPr>
          <w:sz w:val="20"/>
        </w:rPr>
        <w:tab/>
        <w:t>(l)</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sz w:val="20"/>
        </w:rPr>
      </w:pPr>
      <w:r>
        <w:rPr>
          <w:sz w:val="20"/>
        </w:rPr>
      </w:r>
    </w:p>
    <w:p>
      <w:pPr>
        <w:pStyle w:val="Normal"/>
        <w:jc w:val="both"/>
        <w:rPr/>
      </w:pPr>
      <w:r>
        <w:rPr>
          <w:sz w:val="20"/>
        </w:rPr>
        <w:tab/>
        <w:t xml:space="preserve">2.  </w:t>
      </w:r>
      <w:r>
        <w:rPr>
          <w:sz w:val="20"/>
          <w:u w:val="single"/>
        </w:rPr>
        <w:t>Performance Assurance</w:t>
      </w:r>
      <w:r>
        <w:rPr>
          <w:sz w:val="20"/>
        </w:rPr>
        <w:t>.</w:t>
      </w:r>
    </w:p>
    <w:p>
      <w:pPr>
        <w:pStyle w:val="Normal"/>
        <w:jc w:val="both"/>
        <w:rPr>
          <w:sz w:val="20"/>
        </w:rPr>
      </w:pPr>
      <w:r>
        <w:rPr>
          <w:sz w:val="20"/>
        </w:rPr>
      </w:r>
    </w:p>
    <w:p>
      <w:pPr>
        <w:pStyle w:val="Normal"/>
        <w:ind w:hanging="720" w:start="1440" w:end="0"/>
        <w:jc w:val="both"/>
        <w:rPr>
          <w:b/>
          <w:sz w:val="20"/>
        </w:rPr>
      </w:pPr>
      <w:r>
        <w:rPr>
          <w:sz w:val="20"/>
        </w:rPr>
        <w:t>(a)</w:t>
        <w:tab/>
        <w:t>On any Business Day, the Exposed Party may demand in writing that the Non-Exposed Party establish and maintain (subject to increase as provided below) (1) Performance Assurance for the benefit of the Exposed Party equal to the Non-Exposed Party’s Collateral Requirement, rounded up to the next higher integral multiple of $100,000, or (2) increase the amount of any outstanding Performance Assurance so that after such increase the Collateral Requirement has been fully satisfied.  The Non-Exposed Party shall either establish such Performance Assurance or increase any outstanding Performance Assurance, in each case by delivering Cash to the Exposed Party.  Unless otherwise agreed in writing by the parties, Performance Assurance demanded of the Non-Exposed Party by 10:00 a.m., New York time, on a Business Day shall be provided by the close of business on the next succeeding Business Day.</w:t>
      </w:r>
    </w:p>
    <w:p>
      <w:pPr>
        <w:pStyle w:val="BodyTextIndent"/>
        <w:rPr/>
      </w:pPr>
      <w:r>
        <w:rPr>
          <w:color w:val="000000"/>
        </w:rPr>
        <w:t>(b)</w:t>
        <w:tab/>
        <w:t>On any Business Day (but no more frequently than weekly), a party (the “</w:t>
      </w:r>
      <w:r>
        <w:rPr>
          <w:color w:val="000000"/>
          <w:u w:val="single"/>
        </w:rPr>
        <w:t>Requesting Party</w:t>
      </w:r>
      <w:r>
        <w:rPr>
          <w:color w:val="000000"/>
        </w:rPr>
        <w:t>”) that has provided Performance Assurance to the other party (the “</w:t>
      </w:r>
      <w:r>
        <w:rPr>
          <w:color w:val="000000"/>
          <w:u w:val="single"/>
        </w:rPr>
        <w:t>Non-Requesting Party</w:t>
      </w:r>
      <w:r>
        <w:rPr>
          <w:color w:val="000000"/>
        </w:rPr>
        <w:t xml:space="preserve">”) may request a reduction in the amount of Performance Assurance previously provided by it, </w:t>
      </w:r>
      <w:r>
        <w:rPr>
          <w:color w:val="000000"/>
          <w:u w:val="single"/>
        </w:rPr>
        <w:t>provided that</w:t>
      </w:r>
      <w:r>
        <w:rPr>
          <w:color w:val="000000"/>
        </w:rPr>
        <w: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Potential Event of Default or Termination Event with respect to the Requesting Party shall have occurred and be continuing; and (iv) no Early Termination Date for which any unsatisfied payment obligations of the Requesting Party exist has occurred or been designated as a result of an Event of Default or Termination Event with respect to the Requesting Party.  A permitted reduction in Performance Assurance shall be effected by the Transfer of Cash to the Requesting Party.  The Non-Requesting Party shall have two (2) Business Days to effect a permitted reduction in Performance Assurance.  In all cases, the cost and expense of reducing Performance Assurance (including but not limited to the reasonable costs, expenses, and attorneys' fees of the Non-Requesting Party) shall be borne by the Requesting Party.</w:t>
      </w:r>
    </w:p>
    <w:p>
      <w:pPr>
        <w:pStyle w:val="Normal"/>
        <w:ind w:hanging="720" w:start="720" w:end="0"/>
        <w:jc w:val="both"/>
        <w:rPr>
          <w:color w:val="000000"/>
          <w:sz w:val="20"/>
        </w:rPr>
      </w:pPr>
      <w:r>
        <w:rPr>
          <w:color w:val="000000"/>
          <w:sz w:val="20"/>
        </w:rPr>
      </w:r>
    </w:p>
    <w:p>
      <w:pPr>
        <w:pStyle w:val="Normal"/>
        <w:ind w:start="720" w:end="0"/>
        <w:jc w:val="both"/>
        <w:rPr/>
      </w:pPr>
      <w:r>
        <w:rPr>
          <w:sz w:val="20"/>
        </w:rPr>
        <w:t xml:space="preserve">3.  </w:t>
      </w:r>
      <w:r>
        <w:rPr>
          <w:sz w:val="20"/>
          <w:u w:val="single"/>
        </w:rPr>
        <w:t>Cash Collateral</w:t>
      </w:r>
      <w:r>
        <w:rPr>
          <w:sz w:val="20"/>
        </w:rPr>
        <w:t>.  Performance Assurance in the form of United States Dollars (“Cash”) shall be subject to the following provisions:</w:t>
      </w:r>
    </w:p>
    <w:p>
      <w:pPr>
        <w:pStyle w:val="Normal"/>
        <w:jc w:val="both"/>
        <w:rPr>
          <w:sz w:val="20"/>
        </w:rPr>
      </w:pPr>
      <w:r>
        <w:rPr>
          <w:sz w:val="20"/>
        </w:rPr>
      </w:r>
    </w:p>
    <w:p>
      <w:pPr>
        <w:pStyle w:val="Normal"/>
        <w:tabs>
          <w:tab w:val="left" w:pos="720" w:leader="none"/>
        </w:tabs>
        <w:ind w:hanging="720" w:start="1440" w:end="0"/>
        <w:jc w:val="both"/>
        <w:rPr>
          <w:sz w:val="20"/>
        </w:rPr>
      </w:pPr>
      <w:r>
        <w:rPr>
          <w:sz w:val="20"/>
        </w:rPr>
        <w:t>(a)</w:t>
        <w:tab/>
        <w:t xml:space="preserve">Unless otherwise agreed in writing by the parties, Cash shall be delivered in accordance with this Annex and to such account specified by the Exposed Party in the demand sent to the Non-Exposed Party pursuant to Section 2 of this Annex. </w:t>
      </w:r>
    </w:p>
    <w:p>
      <w:pPr>
        <w:pStyle w:val="Normal"/>
        <w:tabs>
          <w:tab w:val="left" w:pos="720" w:leader="none"/>
        </w:tabs>
        <w:ind w:hanging="720" w:start="1440" w:end="0"/>
        <w:jc w:val="both"/>
        <w:rPr>
          <w:sz w:val="20"/>
        </w:rPr>
      </w:pPr>
      <w:r>
        <w:rPr>
          <w:sz w:val="20"/>
        </w:rPr>
      </w:r>
    </w:p>
    <w:p>
      <w:pPr>
        <w:pStyle w:val="BodyTextIndent2"/>
        <w:rPr>
          <w:sz w:val="20"/>
        </w:rPr>
      </w:pPr>
      <w:r>
        <w:rPr>
          <w:sz w:val="20"/>
        </w:rPr>
        <w:t>(b)</w:t>
        <w:tab/>
        <w:tab/>
        <w:t>So long as no Event of Default or Termination Event with respect to the Non-Exposed Party has occurred and is continuing, and no Early Termination Date for which any unsatisfied payment obligations of the Non-Exposed Party exist has occurred or been designated as the result of an Event of Default or Termination Event with respect to the Non-Exposed Party and to the extent that an obligation to deliver Performance Assurance would not be created or increased by the Transfer, the Exposed Party will Transfer to the Non-Exposed Party, in lieu of any interest, dividends or other amounts paid or deemed to have been paid with respect to the Cash (all of which may be retained by the Exposed Party), the Interest Amount (as defined above) on the last Business Day of each calendar month.  On or after the occurrence of an Event of Default or Termination Event with respect to the Non-Exposed Party or an Early Termination Date as a result of an Event of Default or Termination Event with respect to the Non-Exposed Party, the Exposed Party shall retain any such Interest Amount as additional Cash hereunder until the obligations of the Exposed Party under the Confirmation have been satisfied.</w:t>
      </w:r>
    </w:p>
    <w:p>
      <w:pPr>
        <w:pStyle w:val="Normal"/>
        <w:spacing w:before="240" w:after="0"/>
        <w:ind w:hanging="720" w:start="1440" w:end="0"/>
        <w:jc w:val="both"/>
        <w:rPr>
          <w:sz w:val="20"/>
        </w:rPr>
      </w:pPr>
      <w:r>
        <w:rPr>
          <w:sz w:val="20"/>
        </w:rPr>
        <w:t>(c)</w:t>
        <w:tab/>
        <w:t>Without limiting the Exposed Party’s rights under Section 8(d) of this Annex, the Exposed Party will exercise reasonable care to assure the safe custody of all Cash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w:t>
      </w:r>
    </w:p>
    <w:p>
      <w:pPr>
        <w:pStyle w:val="Normal"/>
        <w:jc w:val="both"/>
        <w:rPr>
          <w:sz w:val="20"/>
        </w:rPr>
      </w:pPr>
      <w:r>
        <w:rPr>
          <w:sz w:val="20"/>
        </w:rPr>
      </w:r>
    </w:p>
    <w:p>
      <w:pPr>
        <w:pStyle w:val="Normal"/>
        <w:jc w:val="both"/>
        <w:rPr/>
      </w:pPr>
      <w:r>
        <w:rPr>
          <w:sz w:val="20"/>
        </w:rPr>
        <w:tab/>
        <w:t xml:space="preserve">4.  </w:t>
      </w:r>
      <w:r>
        <w:rPr>
          <w:sz w:val="20"/>
          <w:u w:val="single"/>
        </w:rPr>
        <w:t>Additional Representation</w:t>
      </w:r>
      <w:r>
        <w:rPr>
          <w:sz w:val="20"/>
        </w:rPr>
        <w:t xml:space="preserve">.  Each party continuously represents and warrants to the other party that (a) it has the power and authority under the law of the jurisdiction of its organization or incorporation and under its organizational and constituent documents to grant to the other party, a valid, enforceable, first-priority security interest in, and lien on, all Performance Assurance that it provides as the Non-Exposed Party to the other party hereunder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Cash,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upon receipt thereof; and (d) the performance by it of its obligations under this Annex will not result in the creation of any security interest, lien or other encumbrance on any property other than the security interest and lien granted pursuant to this Annex. </w:t>
      </w:r>
    </w:p>
    <w:p>
      <w:pPr>
        <w:pStyle w:val="Normal"/>
        <w:tabs>
          <w:tab w:val="left" w:pos="720" w:leader="none"/>
        </w:tabs>
        <w:spacing w:before="240" w:after="0"/>
        <w:ind w:hanging="1440" w:end="0"/>
        <w:jc w:val="both"/>
        <w:rPr/>
      </w:pPr>
      <w:r>
        <w:rPr>
          <w:sz w:val="20"/>
        </w:rPr>
        <w:tab/>
        <w:tab/>
        <w:t xml:space="preserve">5.  </w:t>
      </w:r>
      <w:r>
        <w:rPr>
          <w:sz w:val="20"/>
          <w:u w:val="single"/>
        </w:rPr>
        <w:t>Exposed Party’s Rights and Remedies</w:t>
      </w:r>
      <w:r>
        <w:rPr>
          <w:sz w:val="20"/>
        </w:rPr>
        <w:t>.    If at any time (i) an Event of Default or Termination Event with respect to the Non-Exposed Party has occurred and is continuing or (ii) an Early Termination Date has occurred or been designated as a result of an Event of Default or Termination Event with respect to the Non-Exposed Party, then the Exposed Party may do one or both of the following: (x) exercise any of the rights and remedies of a secured party with respect to the Performance Assurance provided by the Non-Exposed Party to it hereunder, including any such rights and remedies under law then in effect or (y) exercise its rights of setoff against any and all property of the Non-Exposed Party in the possession of the Exposed Party or its agent.  The Exposed Party shall either (y) apply the proceeds of the Performance Assurance realized upon the exercise of any such rights or remedies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w:t>
      </w:r>
    </w:p>
    <w:p>
      <w:pPr>
        <w:pStyle w:val="Normal"/>
        <w:tabs>
          <w:tab w:val="left" w:pos="720" w:leader="none"/>
        </w:tabs>
        <w:spacing w:before="240" w:after="0"/>
        <w:ind w:hanging="1440" w:end="0"/>
        <w:jc w:val="both"/>
        <w:rPr/>
      </w:pPr>
      <w:r>
        <w:rPr>
          <w:sz w:val="20"/>
        </w:rPr>
        <w:tab/>
        <w:tab/>
        <w:t xml:space="preserve">6.  </w:t>
      </w:r>
      <w:r>
        <w:rPr>
          <w:sz w:val="20"/>
          <w:u w:val="single"/>
        </w:rPr>
        <w:t>Security Interest</w:t>
      </w:r>
      <w:r>
        <w:rPr>
          <w:sz w:val="20"/>
        </w:rPr>
        <w:t>.  To secure its obligations under the Confirmation and all outstanding Swaps, the Non-Exposed Party hereby grants to the Exposed Party a present and continuing first-priority security interest in, and lien on (and right of setoff against), all Performance Assurance and any and all proceeds, to the extent not otherwise Transferred to the Exposed Party, resulting from such Performance Assurance, whether now or hereafter held by, on behalf of, or for the benefit of, the Exposed Party, and the Non-Exposed Party agrees to take such action as the Exposed Party reasonably requires in order to perfect the Exposed Party’s first-priority continuing security interest in, and lien on (and right of setoff against), such Performance Assurance and any and all proceeds resulting from such Performance Assurance.</w:t>
      </w:r>
    </w:p>
    <w:p>
      <w:pPr>
        <w:pStyle w:val="Normal"/>
        <w:spacing w:before="240" w:after="0"/>
        <w:ind w:firstLine="720" w:end="0"/>
        <w:jc w:val="both"/>
        <w:rPr/>
      </w:pPr>
      <w:r>
        <w:rPr>
          <w:sz w:val="20"/>
        </w:rPr>
        <w:t xml:space="preserve">7.  </w:t>
      </w:r>
      <w:r>
        <w:rPr>
          <w:sz w:val="20"/>
          <w:u w:val="single"/>
        </w:rPr>
        <w:t>General.</w:t>
      </w:r>
    </w:p>
    <w:p>
      <w:pPr>
        <w:pStyle w:val="Normal"/>
        <w:spacing w:before="240" w:after="0"/>
        <w:ind w:hanging="720" w:start="1440" w:end="0"/>
        <w:jc w:val="both"/>
        <w:rPr>
          <w:sz w:val="20"/>
        </w:rPr>
      </w:pPr>
      <w:r>
        <w:rPr>
          <w:sz w:val="20"/>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sz w:val="20"/>
        </w:rPr>
      </w:pPr>
      <w:r>
        <w:rPr>
          <w:sz w:val="20"/>
        </w:rPr>
        <w:t>(b)</w:t>
        <w:tab/>
        <w:t>The 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6 of this Annex, except for those taxes, assessments and charges that result from the exercise of the Exposed Party’s rights under Section 8(d) of this Annex.</w:t>
      </w:r>
    </w:p>
    <w:p>
      <w:pPr>
        <w:pStyle w:val="Normal"/>
        <w:spacing w:before="240" w:after="0"/>
        <w:ind w:hanging="720" w:start="1440" w:end="0"/>
        <w:jc w:val="both"/>
        <w:rPr>
          <w:sz w:val="20"/>
        </w:rPr>
      </w:pPr>
      <w:r>
        <w:rPr>
          <w:sz w:val="20"/>
        </w:rPr>
        <w:t>(c)</w:t>
        <w:tab/>
        <w:t>All reasonable costs and expenses incurred by or on behalf of the Exposed Party in connection with the liquidation and/or application of any Performance Assurance under Section 6 of this Annex will be payable on demand and pursuant to the Confirmation and this Annex by the Non-Exposed Party.</w:t>
      </w:r>
    </w:p>
    <w:p>
      <w:pPr>
        <w:sectPr>
          <w:headerReference w:type="default" r:id="rId20"/>
          <w:headerReference w:type="first" r:id="rId21"/>
          <w:footerReference w:type="default" r:id="rId22"/>
          <w:footerReference w:type="first" r:id="rId23"/>
          <w:type w:val="nextPage"/>
          <w:pgSz w:w="12240" w:h="15840"/>
          <w:pgMar w:left="1728" w:right="1728" w:gutter="0" w:header="720" w:top="1728" w:footer="720" w:bottom="1728"/>
          <w:pgNumType w:fmt="decimal"/>
          <w:formProt w:val="false"/>
          <w:textDirection w:val="lrTb"/>
          <w:docGrid w:type="default" w:linePitch="360" w:charSpace="0"/>
        </w:sectPr>
        <w:pStyle w:val="Normal"/>
        <w:spacing w:before="240" w:after="0"/>
        <w:ind w:hanging="720" w:start="1440" w:end="0"/>
        <w:jc w:val="both"/>
        <w:rPr>
          <w:sz w:val="20"/>
        </w:rPr>
      </w:pPr>
      <w:r>
        <w:rPr>
          <w:sz w:val="20"/>
        </w:rPr>
        <w:t>(d)</w:t>
        <w:tab/>
        <w:t>So long as the Exposed Party is not a Defaulting Party and no Early Termination Date has occurred or been designated as a result of an Event of Default or Termination Event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w:t>
      </w:r>
    </w:p>
    <w:p>
      <w:pPr>
        <w:pStyle w:val="Normal"/>
        <w:ind w:end="180"/>
        <w:jc w:val="center"/>
        <w:rPr>
          <w:b/>
          <w:sz w:val="20"/>
        </w:rPr>
      </w:pPr>
      <w:r>
        <w:rPr>
          <w:b/>
          <w:sz w:val="20"/>
          <w:u w:val="single"/>
        </w:rPr>
        <w:t>ANNEX B-2</w:t>
      </w:r>
    </w:p>
    <w:p>
      <w:pPr>
        <w:pStyle w:val="Normal"/>
        <w:ind w:end="180"/>
        <w:jc w:val="center"/>
        <w:rPr>
          <w:b/>
          <w:sz w:val="20"/>
        </w:rPr>
      </w:pPr>
      <w:r>
        <w:rPr>
          <w:b/>
          <w:sz w:val="20"/>
        </w:rPr>
      </w:r>
    </w:p>
    <w:p>
      <w:pPr>
        <w:pStyle w:val="Normal"/>
        <w:ind w:end="180"/>
        <w:jc w:val="center"/>
        <w:rPr>
          <w:b/>
          <w:sz w:val="20"/>
        </w:rPr>
      </w:pPr>
      <w:r>
        <w:rPr>
          <w:b/>
          <w:sz w:val="20"/>
        </w:rPr>
        <w:t>ENRON CORP.</w:t>
      </w:r>
    </w:p>
    <w:p>
      <w:pPr>
        <w:pStyle w:val="Normal"/>
        <w:spacing w:lineRule="exact" w:line="240"/>
        <w:ind w:end="180"/>
        <w:jc w:val="center"/>
        <w:rPr>
          <w:b/>
          <w:sz w:val="20"/>
          <w:u w:val="single"/>
        </w:rPr>
      </w:pPr>
      <w:r>
        <w:rPr>
          <w:b/>
          <w:sz w:val="20"/>
          <w:u w:val="single"/>
        </w:rPr>
      </w:r>
    </w:p>
    <w:p>
      <w:pPr>
        <w:pStyle w:val="Normal"/>
        <w:spacing w:lineRule="exact" w:line="240"/>
        <w:ind w:end="180"/>
        <w:jc w:val="center"/>
        <w:rPr>
          <w:sz w:val="20"/>
        </w:rPr>
      </w:pPr>
      <w:r>
        <w:rPr>
          <w:sz w:val="20"/>
          <w:u w:val="single"/>
        </w:rPr>
        <w:t>Guaranty</w:t>
      </w:r>
    </w:p>
    <w:p>
      <w:pPr>
        <w:pStyle w:val="Normal"/>
        <w:spacing w:lineRule="exact" w:line="480"/>
        <w:jc w:val="both"/>
        <w:rPr>
          <w:sz w:val="20"/>
        </w:rPr>
      </w:pPr>
      <w:r>
        <w:rPr>
          <w:sz w:val="20"/>
        </w:rPr>
      </w:r>
    </w:p>
    <w:p>
      <w:pPr>
        <w:pStyle w:val="Normal"/>
        <w:spacing w:lineRule="atLeast" w:line="240"/>
        <w:ind w:firstLine="720" w:end="0"/>
        <w:jc w:val="both"/>
        <w:rPr/>
      </w:pPr>
      <w:r>
        <w:rPr>
          <w:sz w:val="20"/>
        </w:rPr>
        <w:t xml:space="preserve">This Guaranty (this “Guaranty”), dated effective as of </w:t>
      </w:r>
      <w:r>
        <w:rPr>
          <w:sz w:val="20"/>
          <w:u w:val="single"/>
        </w:rPr>
        <w:tab/>
        <w:tab/>
      </w:r>
      <w:r>
        <w:rPr>
          <w:sz w:val="20"/>
        </w:rPr>
        <w:t xml:space="preserve">, 2001 (the “Effective Date”), is made and entered into by </w:t>
      </w:r>
      <w:r>
        <w:rPr>
          <w:caps/>
          <w:sz w:val="20"/>
        </w:rPr>
        <w:t>Enron Corp.</w:t>
      </w:r>
      <w:r>
        <w:rPr>
          <w:sz w:val="20"/>
        </w:rPr>
        <w:t>, an Oregon corporation (“Guarantor”).</w:t>
      </w:r>
    </w:p>
    <w:p>
      <w:pPr>
        <w:pStyle w:val="Normal"/>
        <w:keepNext w:val="true"/>
        <w:spacing w:lineRule="exact" w:line="240" w:before="480" w:after="0"/>
        <w:jc w:val="center"/>
        <w:rPr>
          <w:b/>
          <w:caps/>
          <w:sz w:val="20"/>
        </w:rPr>
      </w:pPr>
      <w:r>
        <w:rPr>
          <w:b/>
          <w:caps/>
          <w:sz w:val="20"/>
        </w:rPr>
        <w:t>W I T N E S S E T H:</w:t>
      </w:r>
    </w:p>
    <w:p>
      <w:pPr>
        <w:pStyle w:val="Normal"/>
        <w:spacing w:lineRule="atLeast" w:line="240"/>
        <w:jc w:val="both"/>
        <w:rPr>
          <w:b/>
          <w:caps/>
          <w:sz w:val="20"/>
        </w:rPr>
      </w:pPr>
      <w:r>
        <w:rPr>
          <w:b/>
          <w:caps/>
          <w:sz w:val="20"/>
        </w:rPr>
      </w:r>
    </w:p>
    <w:p>
      <w:pPr>
        <w:pStyle w:val="Normal"/>
        <w:spacing w:lineRule="atLeast" w:line="240"/>
        <w:ind w:firstLine="720" w:end="0"/>
        <w:jc w:val="both"/>
        <w:rPr/>
      </w:pPr>
      <w:r>
        <w:rPr>
          <w:sz w:val="20"/>
        </w:rPr>
        <w:t xml:space="preserve">WHEREAS, CATEQUIL OVERSEAS PARTNERS LTD, a </w:t>
      </w:r>
      <w:r>
        <w:rPr>
          <w:sz w:val="20"/>
          <w:u w:val="single"/>
        </w:rPr>
        <w:tab/>
        <w:tab/>
        <w:tab/>
      </w:r>
      <w:r>
        <w:rPr>
          <w:sz w:val="20"/>
        </w:rPr>
        <w:t xml:space="preserve"> limited partnership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(all such swap, option or other financially-settled derivative transactions and the agreements evidencing same,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WHEREAS, Guarantor will directly or indirectly benefit from the transactions to be entered into between Enron and Counterparty;</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NOW THEREFORE, in consideration of Counterparty entering into the Contract, Guarantor hereby covenants and agrees as follows:</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1.  </w:t>
      </w:r>
      <w:r>
        <w:rPr>
          <w:sz w:val="20"/>
          <w:u w:val="single"/>
        </w:rPr>
        <w:t>GUARANTY</w:t>
      </w:r>
      <w:r>
        <w:rPr>
          <w:sz w:val="20"/>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widowControl w:val="false"/>
        <w:spacing w:before="240" w:after="0"/>
        <w:rPr>
          <w:sz w:val="20"/>
        </w:rPr>
      </w:pPr>
      <w:r>
        <w:rPr>
          <w:sz w:val="20"/>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sz w:val="20"/>
        </w:rPr>
      </w:pPr>
      <w:r>
        <w:rPr>
          <w:sz w:val="20"/>
        </w:rPr>
        <w:t>(b)  The aggregate amount covered by this Guaranty shall not exceed U.S. $10,000,000.</w:t>
      </w:r>
    </w:p>
    <w:p>
      <w:pPr>
        <w:pStyle w:val="Normal"/>
        <w:spacing w:lineRule="atLeast" w:line="240"/>
        <w:jc w:val="both"/>
        <w:rPr>
          <w:sz w:val="20"/>
        </w:rPr>
      </w:pPr>
      <w:r>
        <w:rPr>
          <w:sz w:val="20"/>
        </w:rPr>
      </w:r>
    </w:p>
    <w:p>
      <w:pPr>
        <w:pStyle w:val="Normal"/>
        <w:spacing w:lineRule="atLeast" w:line="240"/>
        <w:ind w:firstLine="720" w:end="0"/>
        <w:jc w:val="both"/>
        <w:rPr/>
      </w:pPr>
      <w:r>
        <w:rPr>
          <w:sz w:val="20"/>
        </w:rPr>
        <w:t xml:space="preserve">2.  </w:t>
      </w:r>
      <w:r>
        <w:rPr>
          <w:sz w:val="20"/>
          <w:u w:val="single"/>
        </w:rPr>
        <w:t>DEMANDS AND NOTICE</w:t>
      </w:r>
      <w:r>
        <w:rPr>
          <w:sz w:val="20"/>
        </w:rPr>
        <w:t>.  Upon the occurrence and during the continuance of an Event of Default,</w:t>
      </w:r>
      <w:r>
        <w:rPr>
          <w:color w:val="FF0000"/>
          <w:sz w:val="20"/>
        </w:rPr>
        <w:t xml:space="preserve"> </w:t>
      </w:r>
      <w:r>
        <w:rPr>
          <w:sz w:val="20"/>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0"/>
        </w:rPr>
      </w:pPr>
      <w:r>
        <w:rPr>
          <w:sz w:val="20"/>
        </w:rPr>
      </w:r>
    </w:p>
    <w:p>
      <w:pPr>
        <w:pStyle w:val="Normal"/>
        <w:keepNext w:val="true"/>
        <w:spacing w:lineRule="atLeast" w:line="240"/>
        <w:ind w:firstLine="720" w:end="0"/>
        <w:jc w:val="both"/>
        <w:rPr/>
      </w:pPr>
      <w:r>
        <w:rPr>
          <w:sz w:val="20"/>
        </w:rPr>
        <w:t xml:space="preserve">3.  </w:t>
      </w:r>
      <w:r>
        <w:rPr>
          <w:sz w:val="20"/>
          <w:u w:val="single"/>
        </w:rPr>
        <w:t>REPRESENTATIONS AND WARRANTIES</w:t>
      </w:r>
      <w:r>
        <w:rPr>
          <w:sz w:val="20"/>
        </w:rPr>
        <w:t>.  Guarantor represents and warrants that:</w:t>
      </w:r>
    </w:p>
    <w:p>
      <w:pPr>
        <w:pStyle w:val="Normal"/>
        <w:keepNext w:val="true"/>
        <w:spacing w:lineRule="exact" w:line="240" w:before="240" w:after="0"/>
        <w:ind w:firstLine="630" w:start="810" w:end="0"/>
        <w:jc w:val="both"/>
        <w:rPr>
          <w:sz w:val="20"/>
        </w:rPr>
      </w:pPr>
      <w:r>
        <w:rPr>
          <w:sz w:val="20"/>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0"/>
        </w:rPr>
      </w:pPr>
      <w:r>
        <w:rPr>
          <w:sz w:val="20"/>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0"/>
        </w:rPr>
      </w:pPr>
      <w:r>
        <w:rPr>
          <w:sz w:val="20"/>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0"/>
        </w:rPr>
      </w:pPr>
      <w:r>
        <w:rPr>
          <w:sz w:val="20"/>
        </w:rPr>
      </w:r>
    </w:p>
    <w:p>
      <w:pPr>
        <w:pStyle w:val="Normal"/>
        <w:spacing w:lineRule="atLeast" w:line="240"/>
        <w:ind w:firstLine="720" w:end="0"/>
        <w:jc w:val="both"/>
        <w:rPr/>
      </w:pPr>
      <w:r>
        <w:rPr>
          <w:sz w:val="20"/>
        </w:rPr>
        <w:t xml:space="preserve">4.  </w:t>
      </w:r>
      <w:r>
        <w:rPr>
          <w:sz w:val="20"/>
          <w:u w:val="single"/>
        </w:rPr>
        <w:t>SETOFFS AND COUNTERCLAIMS</w:t>
      </w:r>
      <w:r>
        <w:rPr>
          <w:sz w:val="20"/>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5.  </w:t>
      </w:r>
      <w:r>
        <w:rPr>
          <w:sz w:val="20"/>
          <w:u w:val="single"/>
        </w:rPr>
        <w:t>AMENDMENT OF GUARANTY</w:t>
      </w:r>
      <w:r>
        <w:rPr>
          <w:sz w:val="20"/>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6.  </w:t>
      </w:r>
      <w:r>
        <w:rPr>
          <w:sz w:val="20"/>
          <w:u w:val="single"/>
        </w:rPr>
        <w:t>WAIVERS</w:t>
      </w:r>
      <w:r>
        <w:rPr>
          <w:sz w:val="20"/>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7.  </w:t>
      </w:r>
      <w:r>
        <w:rPr>
          <w:sz w:val="20"/>
          <w:u w:val="single"/>
        </w:rPr>
        <w:t>NOTICE</w:t>
      </w:r>
      <w:r>
        <w:rPr>
          <w:sz w:val="20"/>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0"/>
        </w:rPr>
      </w:pPr>
      <w:r>
        <w:rPr>
          <w:sz w:val="20"/>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0"/>
              </w:rPr>
            </w:pPr>
            <w:r>
              <w:rPr>
                <w:color w:val="000000"/>
                <w:sz w:val="20"/>
              </w:rPr>
              <w:t>To Counterparty:</w:t>
            </w:r>
          </w:p>
        </w:tc>
        <w:tc>
          <w:tcPr>
            <w:tcW w:w="3330" w:type="dxa"/>
            <w:tcBorders/>
          </w:tcPr>
          <w:p>
            <w:pPr>
              <w:pStyle w:val="Normal"/>
              <w:keepNext w:val="true"/>
              <w:keepLines/>
              <w:tabs>
                <w:tab w:val="clear" w:pos="720"/>
                <w:tab w:val="left" w:pos="3132" w:leader="none"/>
              </w:tabs>
              <w:spacing w:lineRule="atLeast" w:line="240"/>
              <w:rPr>
                <w:color w:val="000000"/>
                <w:sz w:val="20"/>
              </w:rPr>
            </w:pPr>
            <w:r>
              <w:rPr>
                <w:color w:val="000000"/>
                <w:sz w:val="20"/>
              </w:rPr>
              <w:t>Catequil Overseas Partners Ltd.</w:t>
            </w:r>
          </w:p>
        </w:tc>
        <w:tc>
          <w:tcPr>
            <w:tcW w:w="1530" w:type="dxa"/>
            <w:tcBorders/>
          </w:tcPr>
          <w:p>
            <w:pPr>
              <w:pStyle w:val="Normal"/>
              <w:keepNext w:val="true"/>
              <w:keepLines/>
              <w:spacing w:lineRule="atLeast" w:line="240"/>
              <w:rPr>
                <w:color w:val="000000"/>
                <w:sz w:val="20"/>
              </w:rPr>
            </w:pPr>
            <w:r>
              <w:rPr>
                <w:color w:val="000000"/>
                <w:sz w:val="20"/>
              </w:rPr>
              <w:t>To Guarantor:</w:t>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Enron Corp.</w:t>
            </w:r>
          </w:p>
        </w:tc>
      </w:tr>
      <w:tr>
        <w:trPr/>
        <w:tc>
          <w:tcPr>
            <w:tcW w:w="1908" w:type="dxa"/>
            <w:tcBorders/>
          </w:tcPr>
          <w:p>
            <w:pPr>
              <w:pStyle w:val="Normal"/>
              <w:keepNext w:val="true"/>
              <w:keepLines/>
              <w:snapToGrid w:val="false"/>
              <w:spacing w:lineRule="atLeast" w:line="240"/>
              <w:rPr>
                <w:color w:val="000000"/>
                <w:sz w:val="20"/>
              </w:rPr>
            </w:pPr>
            <w:r>
              <w:rPr>
                <w:color w:val="000000"/>
                <w:sz w:val="20"/>
              </w:rPr>
            </w:r>
          </w:p>
        </w:tc>
        <w:tc>
          <w:tcPr>
            <w:tcW w:w="3330" w:type="dxa"/>
            <w:tcBorders/>
          </w:tcPr>
          <w:p>
            <w:pPr>
              <w:pStyle w:val="Normal"/>
              <w:keepNext w:val="true"/>
              <w:keepLines/>
              <w:tabs>
                <w:tab w:val="clear" w:pos="720"/>
                <w:tab w:val="left" w:pos="3132" w:leader="none"/>
              </w:tabs>
              <w:spacing w:lineRule="atLeast" w:line="240"/>
              <w:rPr>
                <w:color w:val="000000"/>
                <w:sz w:val="20"/>
              </w:rPr>
            </w:pPr>
            <w:r>
              <w:rPr>
                <w:color w:val="000000"/>
                <w:sz w:val="20"/>
                <w:u w:val="single"/>
              </w:rPr>
              <w:tab/>
            </w:r>
          </w:p>
        </w:tc>
        <w:tc>
          <w:tcPr>
            <w:tcW w:w="1530" w:type="dxa"/>
            <w:tcBorders/>
          </w:tcPr>
          <w:p>
            <w:pPr>
              <w:pStyle w:val="Normal"/>
              <w:keepNext w:val="true"/>
              <w:keepLines/>
              <w:snapToGrid w:val="false"/>
              <w:spacing w:lineRule="atLeast" w:line="240"/>
              <w:rPr>
                <w:color w:val="000000"/>
                <w:sz w:val="20"/>
              </w:rPr>
            </w:pPr>
            <w:r>
              <w:rPr>
                <w:color w:val="000000"/>
                <w:sz w:val="20"/>
              </w:rPr>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1400 Smith Street</w:t>
            </w:r>
          </w:p>
        </w:tc>
      </w:tr>
      <w:tr>
        <w:trPr/>
        <w:tc>
          <w:tcPr>
            <w:tcW w:w="1908" w:type="dxa"/>
            <w:tcBorders/>
          </w:tcPr>
          <w:p>
            <w:pPr>
              <w:pStyle w:val="Normal"/>
              <w:keepNext w:val="true"/>
              <w:keepLines/>
              <w:snapToGrid w:val="false"/>
              <w:spacing w:lineRule="atLeast" w:line="240"/>
              <w:rPr>
                <w:color w:val="000000"/>
                <w:sz w:val="20"/>
              </w:rPr>
            </w:pPr>
            <w:r>
              <w:rPr>
                <w:color w:val="000000"/>
                <w:sz w:val="20"/>
              </w:rPr>
            </w:r>
          </w:p>
        </w:tc>
        <w:tc>
          <w:tcPr>
            <w:tcW w:w="3330" w:type="dxa"/>
            <w:tcBorders/>
          </w:tcPr>
          <w:p>
            <w:pPr>
              <w:pStyle w:val="Normal"/>
              <w:keepNext w:val="true"/>
              <w:keepLines/>
              <w:tabs>
                <w:tab w:val="clear" w:pos="720"/>
                <w:tab w:val="left" w:pos="3132" w:leader="none"/>
              </w:tabs>
              <w:spacing w:lineRule="atLeast" w:line="240"/>
              <w:rPr>
                <w:color w:val="000000"/>
                <w:sz w:val="20"/>
              </w:rPr>
            </w:pPr>
            <w:r>
              <w:rPr>
                <w:color w:val="000000"/>
                <w:sz w:val="20"/>
                <w:u w:val="single"/>
              </w:rPr>
              <w:tab/>
            </w:r>
          </w:p>
        </w:tc>
        <w:tc>
          <w:tcPr>
            <w:tcW w:w="1530" w:type="dxa"/>
            <w:tcBorders/>
          </w:tcPr>
          <w:p>
            <w:pPr>
              <w:pStyle w:val="Normal"/>
              <w:keepNext w:val="true"/>
              <w:keepLines/>
              <w:snapToGrid w:val="false"/>
              <w:spacing w:lineRule="atLeast" w:line="240"/>
              <w:rPr>
                <w:color w:val="000000"/>
                <w:sz w:val="20"/>
              </w:rPr>
            </w:pPr>
            <w:r>
              <w:rPr>
                <w:color w:val="000000"/>
                <w:sz w:val="20"/>
              </w:rPr>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Houston, Texas 77002</w:t>
            </w:r>
          </w:p>
        </w:tc>
      </w:tr>
      <w:tr>
        <w:trPr/>
        <w:tc>
          <w:tcPr>
            <w:tcW w:w="1908" w:type="dxa"/>
            <w:tcBorders/>
          </w:tcPr>
          <w:p>
            <w:pPr>
              <w:pStyle w:val="Normal"/>
              <w:keepNext w:val="true"/>
              <w:keepLines/>
              <w:snapToGrid w:val="false"/>
              <w:spacing w:lineRule="atLeast" w:line="240"/>
              <w:rPr>
                <w:color w:val="000000"/>
                <w:sz w:val="20"/>
              </w:rPr>
            </w:pPr>
            <w:r>
              <w:rPr>
                <w:color w:val="000000"/>
                <w:sz w:val="20"/>
              </w:rPr>
            </w:r>
          </w:p>
        </w:tc>
        <w:tc>
          <w:tcPr>
            <w:tcW w:w="3330" w:type="dxa"/>
            <w:tcBorders/>
          </w:tcPr>
          <w:p>
            <w:pPr>
              <w:pStyle w:val="Normal"/>
              <w:keepNext w:val="true"/>
              <w:keepLines/>
              <w:tabs>
                <w:tab w:val="clear" w:pos="720"/>
                <w:tab w:val="left" w:pos="3132" w:leader="none"/>
              </w:tabs>
              <w:spacing w:lineRule="atLeast" w:line="240"/>
              <w:rPr/>
            </w:pPr>
            <w:r>
              <w:rPr>
                <w:color w:val="000000"/>
                <w:sz w:val="20"/>
              </w:rPr>
              <w:t xml:space="preserve">Attn.:  </w:t>
            </w:r>
            <w:r>
              <w:rPr>
                <w:color w:val="000000"/>
                <w:sz w:val="20"/>
                <w:u w:val="single"/>
              </w:rPr>
              <w:tab/>
            </w:r>
          </w:p>
          <w:p>
            <w:pPr>
              <w:pStyle w:val="Normal"/>
              <w:keepNext w:val="true"/>
              <w:keepLines/>
              <w:tabs>
                <w:tab w:val="clear" w:pos="720"/>
                <w:tab w:val="left" w:pos="3132" w:leader="none"/>
              </w:tabs>
              <w:spacing w:lineRule="atLeast" w:line="240"/>
              <w:rPr>
                <w:color w:val="000000"/>
                <w:sz w:val="20"/>
                <w:u w:val="single"/>
              </w:rPr>
            </w:pPr>
            <w:r>
              <w:rPr>
                <w:color w:val="000000"/>
                <w:sz w:val="20"/>
                <w:u w:val="single"/>
              </w:rPr>
            </w:r>
          </w:p>
        </w:tc>
        <w:tc>
          <w:tcPr>
            <w:tcW w:w="1530" w:type="dxa"/>
            <w:tcBorders/>
          </w:tcPr>
          <w:p>
            <w:pPr>
              <w:pStyle w:val="Normal"/>
              <w:keepNext w:val="true"/>
              <w:keepLines/>
              <w:snapToGrid w:val="false"/>
              <w:spacing w:lineRule="atLeast" w:line="240"/>
              <w:rPr>
                <w:color w:val="000000"/>
                <w:sz w:val="20"/>
              </w:rPr>
            </w:pPr>
            <w:r>
              <w:rPr>
                <w:color w:val="000000"/>
                <w:sz w:val="20"/>
              </w:rPr>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Attn.:  Vice President, Finance and Treasurer</w:t>
            </w:r>
          </w:p>
        </w:tc>
      </w:tr>
      <w:tr>
        <w:trPr/>
        <w:tc>
          <w:tcPr>
            <w:tcW w:w="1908" w:type="dxa"/>
            <w:tcBorders/>
          </w:tcPr>
          <w:p>
            <w:pPr>
              <w:pStyle w:val="Normal"/>
              <w:keepNext w:val="true"/>
              <w:keepLines/>
              <w:snapToGrid w:val="false"/>
              <w:spacing w:lineRule="atLeast" w:line="240"/>
              <w:rPr>
                <w:color w:val="000000"/>
                <w:sz w:val="20"/>
              </w:rPr>
            </w:pPr>
            <w:r>
              <w:rPr>
                <w:color w:val="000000"/>
                <w:sz w:val="20"/>
              </w:rPr>
            </w:r>
          </w:p>
        </w:tc>
        <w:tc>
          <w:tcPr>
            <w:tcW w:w="3330" w:type="dxa"/>
            <w:tcBorders/>
          </w:tcPr>
          <w:p>
            <w:pPr>
              <w:pStyle w:val="Normal"/>
              <w:keepNext w:val="true"/>
              <w:keepLines/>
              <w:tabs>
                <w:tab w:val="clear" w:pos="720"/>
                <w:tab w:val="left" w:pos="3132" w:leader="none"/>
              </w:tabs>
              <w:spacing w:lineRule="atLeast" w:line="240"/>
              <w:rPr>
                <w:color w:val="000000"/>
                <w:sz w:val="20"/>
              </w:rPr>
            </w:pPr>
            <w:r>
              <w:rPr>
                <w:color w:val="000000"/>
                <w:sz w:val="20"/>
              </w:rPr>
              <w:t xml:space="preserve">Fax No.:  </w:t>
            </w:r>
            <w:r>
              <w:rPr>
                <w:color w:val="000000"/>
                <w:sz w:val="20"/>
                <w:u w:val="single"/>
              </w:rPr>
              <w:tab/>
            </w:r>
          </w:p>
        </w:tc>
        <w:tc>
          <w:tcPr>
            <w:tcW w:w="1530" w:type="dxa"/>
            <w:tcBorders/>
          </w:tcPr>
          <w:p>
            <w:pPr>
              <w:pStyle w:val="Normal"/>
              <w:keepNext w:val="true"/>
              <w:keepLines/>
              <w:snapToGrid w:val="false"/>
              <w:spacing w:lineRule="atLeast" w:line="240"/>
              <w:rPr>
                <w:color w:val="000000"/>
                <w:sz w:val="20"/>
              </w:rPr>
            </w:pPr>
            <w:r>
              <w:rPr>
                <w:color w:val="000000"/>
                <w:sz w:val="20"/>
              </w:rPr>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Fax No.:  (713) 646-3422</w:t>
            </w:r>
          </w:p>
        </w:tc>
      </w:tr>
    </w:tbl>
    <w:p>
      <w:pPr>
        <w:pStyle w:val="Normal"/>
        <w:tabs>
          <w:tab w:val="clear" w:pos="720"/>
          <w:tab w:val="left" w:pos="2880" w:leader="none"/>
          <w:tab w:val="left" w:pos="6480" w:leader="none"/>
        </w:tabs>
        <w:spacing w:lineRule="exact" w:line="240"/>
        <w:ind w:start="720" w:end="0"/>
        <w:jc w:val="both"/>
        <w:rPr>
          <w:sz w:val="20"/>
        </w:rPr>
      </w:pPr>
      <w:r>
        <w:rPr>
          <w:sz w:val="20"/>
        </w:rPr>
      </w:r>
    </w:p>
    <w:p>
      <w:pPr>
        <w:pStyle w:val="Normal"/>
        <w:spacing w:lineRule="atLeast" w:line="240"/>
        <w:jc w:val="both"/>
        <w:rPr>
          <w:sz w:val="20"/>
        </w:rPr>
      </w:pPr>
      <w:r>
        <w:rPr>
          <w:sz w:val="20"/>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0"/>
        </w:rPr>
      </w:pPr>
      <w:r>
        <w:rPr>
          <w:sz w:val="20"/>
        </w:rPr>
      </w:r>
    </w:p>
    <w:p>
      <w:pPr>
        <w:pStyle w:val="Normal"/>
        <w:spacing w:lineRule="atLeast" w:line="240"/>
        <w:ind w:firstLine="720" w:end="0"/>
        <w:jc w:val="both"/>
        <w:rPr>
          <w:sz w:val="20"/>
        </w:rPr>
      </w:pPr>
      <w:r>
        <w:rPr>
          <w:sz w:val="20"/>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8.  </w:t>
      </w:r>
      <w:r>
        <w:rPr>
          <w:sz w:val="20"/>
          <w:u w:val="single"/>
        </w:rPr>
        <w:t>MISCELLANEOUS</w:t>
      </w:r>
      <w:r>
        <w:rPr>
          <w:sz w:val="20"/>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IN WITNESS WHEREOF, the Guarantor has executed this Guaranty on </w:t>
        <w:tab/>
      </w:r>
      <w:r>
        <w:rPr>
          <w:sz w:val="20"/>
          <w:u w:val="single"/>
        </w:rPr>
        <w:tab/>
      </w:r>
      <w:r>
        <w:rPr>
          <w:sz w:val="20"/>
        </w:rPr>
        <w:t>, 2001, but it is effective as of the Effective Date.</w:t>
      </w:r>
    </w:p>
    <w:p>
      <w:pPr>
        <w:pStyle w:val="Normal"/>
        <w:spacing w:lineRule="atLeast" w:line="240"/>
        <w:ind w:firstLine="720" w:end="0"/>
        <w:jc w:val="both"/>
        <w:rPr>
          <w:sz w:val="20"/>
        </w:rPr>
      </w:pPr>
      <w:r>
        <w:rPr>
          <w:sz w:val="20"/>
        </w:rPr>
      </w:r>
    </w:p>
    <w:p>
      <w:pPr>
        <w:pStyle w:val="Normal"/>
        <w:spacing w:lineRule="atLeast" w:line="240"/>
        <w:ind w:start="5040" w:end="0"/>
        <w:jc w:val="both"/>
        <w:rPr>
          <w:b/>
          <w:sz w:val="20"/>
        </w:rPr>
      </w:pPr>
      <w:r>
        <w:rPr>
          <w:b/>
          <w:sz w:val="20"/>
        </w:rPr>
        <w:t>ENRON CORP.</w:t>
      </w:r>
    </w:p>
    <w:p>
      <w:pPr>
        <w:pStyle w:val="Normal"/>
        <w:spacing w:lineRule="atLeast" w:line="240"/>
        <w:ind w:start="5040" w:end="0"/>
        <w:jc w:val="both"/>
        <w:rPr>
          <w:b/>
          <w:sz w:val="20"/>
        </w:rPr>
      </w:pPr>
      <w:r>
        <w:rPr>
          <w:b/>
          <w:sz w:val="20"/>
        </w:rPr>
      </w:r>
    </w:p>
    <w:p>
      <w:pPr>
        <w:pStyle w:val="Normal"/>
        <w:spacing w:lineRule="atLeast" w:line="240"/>
        <w:ind w:start="5040" w:end="0"/>
        <w:jc w:val="both"/>
        <w:rPr>
          <w:b/>
          <w:sz w:val="20"/>
        </w:rPr>
      </w:pPr>
      <w:r>
        <w:rPr>
          <w:b/>
          <w:sz w:val="20"/>
        </w:rPr>
      </w:r>
    </w:p>
    <w:p>
      <w:pPr>
        <w:pStyle w:val="Normal"/>
        <w:spacing w:lineRule="atLeast" w:line="240"/>
        <w:ind w:start="5040" w:end="0"/>
        <w:jc w:val="both"/>
        <w:rPr>
          <w:sz w:val="20"/>
        </w:rPr>
      </w:pPr>
      <w:r>
        <w:rPr>
          <w:sz w:val="20"/>
        </w:rPr>
        <w:t xml:space="preserve">By:  </w:t>
      </w:r>
      <w:r>
        <w:rPr>
          <w:sz w:val="20"/>
          <w:u w:val="single"/>
        </w:rPr>
        <w:tab/>
        <w:tab/>
        <w:tab/>
        <w:tab/>
        <w:tab/>
      </w:r>
    </w:p>
    <w:p>
      <w:pPr>
        <w:pStyle w:val="Normal"/>
        <w:spacing w:lineRule="atLeast" w:line="240"/>
        <w:ind w:start="5040" w:end="0"/>
        <w:jc w:val="both"/>
        <w:rPr>
          <w:sz w:val="20"/>
        </w:rPr>
      </w:pPr>
      <w:r>
        <w:rPr>
          <w:sz w:val="20"/>
        </w:rPr>
        <w:t xml:space="preserve">Name:  </w:t>
      </w:r>
      <w:r>
        <w:rPr>
          <w:sz w:val="20"/>
          <w:u w:val="single"/>
        </w:rPr>
        <w:tab/>
        <w:tab/>
        <w:tab/>
        <w:tab/>
        <w:tab/>
      </w:r>
    </w:p>
    <w:p>
      <w:pPr>
        <w:pStyle w:val="Normal"/>
        <w:spacing w:lineRule="atLeast" w:line="240"/>
        <w:ind w:start="5040" w:end="0"/>
        <w:jc w:val="both"/>
        <w:rPr>
          <w:sz w:val="20"/>
        </w:rPr>
      </w:pPr>
      <w:r>
        <w:rPr>
          <w:sz w:val="20"/>
        </w:rPr>
        <w:t xml:space="preserve">Title:  </w:t>
      </w:r>
      <w:r>
        <w:rPr>
          <w:sz w:val="20"/>
          <w:u w:val="single"/>
        </w:rPr>
        <w:tab/>
        <w:tab/>
        <w:tab/>
        <w:tab/>
        <w:tab/>
      </w:r>
    </w:p>
    <w:p>
      <w:pPr>
        <w:pStyle w:val="Normal"/>
        <w:rPr>
          <w:sz w:val="20"/>
        </w:rPr>
      </w:pPr>
      <w:r>
        <w:rPr>
          <w:sz w:val="20"/>
        </w:rPr>
      </w:r>
    </w:p>
    <w:sectPr>
      <w:headerReference w:type="default" r:id="rId24"/>
      <w:headerReference w:type="first" r:id="rId25"/>
      <w:footerReference w:type="default" r:id="rId26"/>
      <w:footerReference w:type="first" r:id="rId27"/>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6</w:t>
    </w:r>
    <w:r>
      <w:rPr>
        <w:sz w:val="18"/>
      </w:rPr>
      <w:fldChar w:fldCharType="end"/>
    </w:r>
  </w:p>
  <w:p>
    <w:pPr>
      <w:pStyle w:val="Normal"/>
      <w:jc w:val="center"/>
      <w:rPr>
        <w:sz w:val="18"/>
      </w:rPr>
    </w:pPr>
    <w:r>
      <w:rPr>
        <w:sz w:val="18"/>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1530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49.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
  </w:p>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w:t>
    </w:r>
    <w:r>
      <w:rPr>
        <w:rStyle w:val="PageNumber"/>
        <w:sz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jc w:val="center"/>
      <w:rPr>
        <w:sz w:val="18"/>
      </w:rPr>
    </w:pPr>
    <w:r>
      <w:rPr>
        <w:sz w:val="18"/>
      </w:rPr>
      <w:t>Exhibit 1</w:t>
    </w:r>
  </w:p>
  <w:p>
    <w:pPr>
      <w:pStyle w:val="Footer"/>
      <w:jc w:val="center"/>
      <w:rP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w:t>
    </w:r>
    <w:r>
      <w:rPr>
        <w:rStyle w:val="PageNumber"/>
        <w:sz w:val="18"/>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QW3079.2</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QW3079.2</w: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QW3079.2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QW3079.2</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QW3079.2</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QW3079.2</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QW3079.2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1"/>
      <w:numFmt w:val="lowerRoman"/>
      <w:lvlText w:val="(%1)"/>
      <w:lvlJc w:val="start"/>
      <w:pPr>
        <w:tabs>
          <w:tab w:val="num" w:pos="1440"/>
        </w:tabs>
        <w:ind w:start="1440" w:hanging="72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3">
    <w:lvl w:ilvl="0">
      <w:start w:val="1"/>
      <w:numFmt w:val="lowerRoman"/>
      <w:lvlText w:val="(%1)"/>
      <w:lvlJc w:val="start"/>
      <w:pPr>
        <w:tabs>
          <w:tab w:val="num" w:pos="1440"/>
        </w:tabs>
        <w:ind w:start="1440" w:hanging="72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sz w:val="20"/>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jc w:val="center"/>
      <w:outlineLvl w:val="3"/>
    </w:pPr>
    <w:rPr>
      <w:b/>
      <w:sz w:val="20"/>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9z0">
    <w:name w:val="WW8Num9z0"/>
    <w:qFormat/>
    <w:rPr>
      <w:b w:val="false"/>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Index1">
    <w:name w:val="index 1"/>
    <w:basedOn w:val="Normal"/>
    <w:next w:val="Normal"/>
    <w:pPr/>
    <w:rPr>
      <w:rFonts w:ascii="Arial" w:hAnsi="Arial" w:cs="Arial"/>
      <w:sz w:val="20"/>
    </w:rPr>
  </w:style>
  <w:style w:type="paragraph" w:styleId="Justified">
    <w:name w:val="Justified"/>
    <w:basedOn w:val="Normal"/>
    <w:next w:val="Heading2"/>
    <w:qFormat/>
    <w:pPr>
      <w:spacing w:before="0" w:after="120"/>
      <w:jc w:val="both"/>
    </w:pPr>
    <w:rPr>
      <w:rFonts w:ascii="Arial" w:hAnsi="Arial" w:cs="Arial"/>
      <w:sz w:val="22"/>
    </w:rPr>
  </w:style>
  <w:style w:type="paragraph" w:styleId="BodyTextIndent">
    <w:name w:val="Body Text Indent"/>
    <w:basedOn w:val="Normal"/>
    <w:pPr>
      <w:spacing w:lineRule="exact" w:line="240" w:before="240" w:after="0"/>
      <w:ind w:hanging="720" w:start="1440" w:end="0"/>
      <w:jc w:val="both"/>
    </w:pPr>
    <w:rPr>
      <w:color w:val="FF0000"/>
      <w:sz w:val="20"/>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rPr>
  </w:style>
  <w:style w:type="paragraph" w:styleId="BodyTextIndent3">
    <w:name w:val="Body Text Indent 3"/>
    <w:basedOn w:val="Normal"/>
    <w:qFormat/>
    <w:pPr>
      <w:spacing w:lineRule="exact" w:line="240"/>
      <w:ind w:firstLine="720" w:start="7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hyperlink" Target="http://www.enron.com/" TargetMode="Externa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7.xml"/><Relationship Id="rId19" Type="http://schemas.openxmlformats.org/officeDocument/2006/relationships/footer" Target="footer8.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footer" Target="footer9.xml"/><Relationship Id="rId23" Type="http://schemas.openxmlformats.org/officeDocument/2006/relationships/footer" Target="footer10.xml"/><Relationship Id="rId24" Type="http://schemas.openxmlformats.org/officeDocument/2006/relationships/header" Target="header11.xml"/><Relationship Id="rId25" Type="http://schemas.openxmlformats.org/officeDocument/2006/relationships/header" Target="header12.xml"/><Relationship Id="rId26" Type="http://schemas.openxmlformats.org/officeDocument/2006/relationships/footer" Target="footer11.xml"/><Relationship Id="rId27" Type="http://schemas.openxmlformats.org/officeDocument/2006/relationships/footer" Target="footer12.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2001-03-15T19:42:00Z</dcterms:created>
  <dc:creator>ECT</dc:creator>
  <dc:description/>
  <dc:language>en-CA</dc:language>
  <cp:lastModifiedBy>jhunte2</cp:lastModifiedBy>
  <dcterms:modified xsi:type="dcterms:W3CDTF">2001-03-15T20:00:00Z</dcterms:modified>
  <cp:revision>3</cp:revision>
  <dc:subject>Catequil Overseas Partners, Ltd.</dc:subject>
  <dc:title>QW3079.2</dc:title>
</cp:coreProperties>
</file>