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Normal"/>
        <w:numPr>
          <w:ilvl w:val="0"/>
          <w:numId w:val="0"/>
        </w:numPr>
        <w:jc w:val="center"/>
        <w:outlineLvl w:val="0"/>
        <w:rPr>
          <w:b/>
          <w:sz w:val="20"/>
        </w:rPr>
      </w:pPr>
      <w:r>
        <w:rPr>
          <w:b/>
          <w:sz w:val="20"/>
        </w:rPr>
        <w:t xml:space="preserve"> </w:t>
      </w:r>
      <w:r>
        <w:rPr>
          <w:b/>
          <w:sz w:val="20"/>
        </w:rPr>
        <w:t xml:space="preserve">CONFIRMATION </w:t>
      </w:r>
    </w:p>
    <w:p>
      <w:pPr>
        <w:pStyle w:val="Normal"/>
        <w:numPr>
          <w:ilvl w:val="0"/>
          <w:numId w:val="0"/>
        </w:numPr>
        <w:jc w:val="center"/>
        <w:outlineLvl w:val="0"/>
        <w:rPr>
          <w:b/>
          <w:sz w:val="20"/>
        </w:rPr>
      </w:pPr>
      <w:r>
        <w:rPr>
          <w:b/>
          <w:sz w:val="20"/>
        </w:rPr>
        <w:t>(SWAP)</w:t>
      </w:r>
    </w:p>
    <w:p>
      <w:pPr>
        <w:pStyle w:val="Normal"/>
        <w:rPr>
          <w:b/>
          <w:sz w:val="20"/>
        </w:rPr>
      </w:pPr>
      <w:r>
        <w:rPr>
          <w:b/>
          <w:sz w:val="20"/>
        </w:rPr>
      </w:r>
    </w:p>
    <w:p>
      <w:pPr>
        <w:pStyle w:val="Normal"/>
        <w:rPr>
          <w:sz w:val="20"/>
        </w:rPr>
      </w:pPr>
      <w:r>
        <w:rPr>
          <w:sz w:val="20"/>
        </w:rPr>
        <w:t>Date:</w:t>
        <w:tab/>
        <w:tab/>
        <w:tab/>
        <w:tab/>
      </w:r>
      <w:r>
        <w:rPr>
          <w:sz w:val="20"/>
        </w:rPr>
        <w:fldChar w:fldCharType="begin"/>
      </w:r>
      <w:r>
        <w:rPr>
          <w:sz w:val="20"/>
        </w:rPr>
        <w:instrText xml:space="preserve"> MERGEFIELD DealDate </w:instrText>
      </w:r>
      <w:r>
        <w:rPr>
          <w:sz w:val="20"/>
        </w:rPr>
        <w:fldChar w:fldCharType="separate"/>
      </w:r>
      <w:r>
        <w:rPr>
          <w:sz w:val="20"/>
        </w:rPr>
        <w:t>March 09, 2001</w:t>
      </w:r>
      <w:r>
        <w:rPr>
          <w:sz w:val="20"/>
        </w:rPr>
        <w:fldChar w:fldCharType="end"/>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Catequil Partners, L.P.</w:t>
      </w:r>
      <w:r>
        <w:rPr>
          <w:sz w:val="20"/>
        </w:rPr>
        <w:fldChar w:fldCharType="end"/>
      </w:r>
      <w:r>
        <w:rPr>
          <w:sz w:val="20"/>
        </w:rPr>
        <w:t xml:space="preserve">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Normal"/>
        <w:rPr>
          <w:sz w:val="20"/>
        </w:rPr>
      </w:pPr>
      <w:r>
        <w:rPr>
          <w:sz w:val="20"/>
        </w:rPr>
        <w:t>Fax No.:</w:t>
        <w:tab/>
        <w:tab/>
        <w:tab/>
        <w:tab/>
        <w:t>732-563-0919</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t xml:space="preserve">Commodity Swap </w:t>
      </w:r>
      <w:r>
        <w:rPr>
          <w:sz w:val="20"/>
        </w:rPr>
        <w:fldChar w:fldCharType="begin"/>
      </w:r>
      <w:r>
        <w:rPr>
          <w:sz w:val="20"/>
        </w:rPr>
        <w:instrText xml:space="preserve"> MERGEFIELD DealNumber </w:instrText>
      </w:r>
      <w:r>
        <w:rPr>
          <w:sz w:val="20"/>
        </w:rPr>
        <w:fldChar w:fldCharType="separate"/>
      </w:r>
      <w:r>
        <w:rPr>
          <w:sz w:val="20"/>
        </w:rPr>
        <w:t>QW3079.1</w:t>
      </w:r>
      <w:r>
        <w:rPr>
          <w:sz w:val="20"/>
        </w:rPr>
        <w:fldChar w:fldCharType="end"/>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Catequil Partners, L.P. (“Counterparty”) and Enron North America Corp. (“ENA”) on March 9,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b/>
          <w:sz w:val="20"/>
        </w:rPr>
      </w:pPr>
      <w:r>
        <w:rPr>
          <w:b/>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Notional Quantity per</w:t>
            </w:r>
          </w:p>
          <w:p>
            <w:pPr>
              <w:pStyle w:val="Normal"/>
              <w:ind w:start="720" w:end="0"/>
              <w:rPr>
                <w:sz w:val="20"/>
              </w:rPr>
            </w:pPr>
            <w:r>
              <w:rPr>
                <w:sz w:val="20"/>
              </w:rPr>
              <w:t>Calculation Period:</w:t>
            </w:r>
          </w:p>
        </w:tc>
        <w:tc>
          <w:tcPr>
            <w:tcW w:w="6102" w:type="dxa"/>
            <w:tcBorders/>
          </w:tcPr>
          <w:p>
            <w:pPr>
              <w:pStyle w:val="Normal"/>
              <w:snapToGrid w:val="false"/>
              <w:jc w:val="both"/>
              <w:rPr>
                <w:sz w:val="20"/>
              </w:rPr>
            </w:pPr>
            <w:r>
              <w:rPr>
                <w:sz w:val="20"/>
              </w:rPr>
            </w:r>
          </w:p>
          <w:p>
            <w:pPr>
              <w:pStyle w:val="Normal"/>
              <w:jc w:val="both"/>
              <w:rPr>
                <w:sz w:val="20"/>
              </w:rPr>
            </w:pPr>
            <w:r>
              <w:rPr>
                <w:sz w:val="20"/>
              </w:rPr>
              <w:fldChar w:fldCharType="begin"/>
            </w:r>
            <w:r>
              <w:rPr>
                <w:sz w:val="20"/>
              </w:rPr>
              <w:instrText xml:space="preserve"> MERGEFIELD QtyPerPeriod </w:instrText>
            </w:r>
            <w:r>
              <w:rPr>
                <w:sz w:val="20"/>
              </w:rPr>
              <w:fldChar w:fldCharType="separate"/>
            </w:r>
            <w:r>
              <w:rPr>
                <w:sz w:val="20"/>
              </w:rPr>
              <w:t>4,113 MMBtu multiplied by the number of days in the relevant Calculation Period</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Natural Gas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MMBtu (One Million British Thermal Units)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March 09,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May 01,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October 31,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Calculation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May 01, 2001 and ending on October 31, 2001.</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rPr>
          <w:sz w:val="20"/>
        </w:rPr>
      </w:pPr>
      <w:r>
        <w:rPr>
          <w:sz w:val="20"/>
        </w:rPr>
      </w:r>
    </w:p>
    <w:p>
      <w:pPr>
        <w:pStyle w:val="Normal"/>
        <w:numPr>
          <w:ilvl w:val="0"/>
          <w:numId w:val="0"/>
        </w:numPr>
        <w:outlineLvl w:val="0"/>
        <w:rPr>
          <w:b/>
          <w:sz w:val="20"/>
        </w:rPr>
      </w:pPr>
      <w:r>
        <w:rPr>
          <w:b/>
          <w:sz w:val="20"/>
        </w:rPr>
        <w:t>Fixed Amount Details:</w:t>
      </w:r>
    </w:p>
    <w:p>
      <w:pPr>
        <w:pStyle w:val="Normal"/>
        <w:rPr>
          <w:b/>
          <w:sz w:val="20"/>
        </w:rPr>
      </w:pPr>
      <w:r>
        <w:rPr>
          <w:b/>
          <w:sz w:val="20"/>
        </w:rPr>
      </w:r>
    </w:p>
    <w:p>
      <w:pPr>
        <w:pStyle w:val="Normal"/>
        <w:numPr>
          <w:ilvl w:val="0"/>
          <w:numId w:val="0"/>
        </w:numPr>
        <w:jc w:val="both"/>
        <w:outlineLvl w:val="0"/>
        <w:rPr>
          <w:sz w:val="20"/>
        </w:rPr>
      </w:pPr>
      <w:r>
        <w:rPr>
          <w:sz w:val="20"/>
        </w:rPr>
        <w:tab/>
        <w:t>Fixed Price Payor:</w:t>
        <w:tab/>
        <w:tab/>
        <w:tab/>
      </w:r>
      <w:r>
        <w:rPr>
          <w:sz w:val="20"/>
        </w:rPr>
        <w:fldChar w:fldCharType="begin"/>
      </w:r>
      <w:r>
        <w:rPr>
          <w:sz w:val="20"/>
        </w:rPr>
        <w:instrText xml:space="preserve"> MERGEFIELD FixedPayerWCP </w:instrText>
      </w:r>
      <w:r>
        <w:rPr>
          <w:sz w:val="20"/>
        </w:rPr>
        <w:fldChar w:fldCharType="separate"/>
      </w:r>
      <w:r>
        <w:rPr>
          <w:sz w:val="20"/>
        </w:rPr>
        <w:t>ENA</w:t>
      </w:r>
      <w:r>
        <w:rPr>
          <w:sz w:val="20"/>
        </w:rPr>
        <w:fldChar w:fldCharType="end"/>
      </w:r>
    </w:p>
    <w:p>
      <w:pPr>
        <w:pStyle w:val="Normal"/>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Fixed Price:</w:t>
            </w:r>
          </w:p>
        </w:tc>
        <w:tc>
          <w:tcPr>
            <w:tcW w:w="6102" w:type="dxa"/>
            <w:tcBorders/>
          </w:tcPr>
          <w:p>
            <w:pPr>
              <w:pStyle w:val="Normal"/>
              <w:jc w:val="both"/>
              <w:rPr>
                <w:sz w:val="20"/>
              </w:rPr>
            </w:pPr>
            <w:r>
              <w:rPr>
                <w:sz w:val="20"/>
              </w:rPr>
              <w:fldChar w:fldCharType="begin"/>
            </w:r>
            <w:r>
              <w:rPr>
                <w:sz w:val="20"/>
              </w:rPr>
              <w:instrText xml:space="preserve"> MERGEFIELD FixedPrice </w:instrText>
            </w:r>
            <w:r>
              <w:rPr>
                <w:sz w:val="20"/>
              </w:rPr>
              <w:fldChar w:fldCharType="separate"/>
            </w:r>
            <w:r>
              <w:rPr>
                <w:sz w:val="20"/>
              </w:rPr>
              <w:t>The settlement price for the last scheduled trading day of the NYMEX Henry Hub Natural Gas Futures Contract for the applicable Calculation Period less US Dollars $0.26750 per MMBtu</w:t>
            </w:r>
            <w:r>
              <w:rPr>
                <w:sz w:val="20"/>
              </w:rPr>
              <w:fldChar w:fldCharType="end"/>
            </w:r>
          </w:p>
        </w:tc>
      </w:tr>
    </w:tbl>
    <w:p>
      <w:pPr>
        <w:pStyle w:val="Normal"/>
        <w:rPr>
          <w:sz w:val="20"/>
        </w:rPr>
      </w:pPr>
      <w:r>
        <w:rPr>
          <w:sz w:val="20"/>
        </w:rPr>
        <w:tab/>
      </w:r>
    </w:p>
    <w:p>
      <w:pPr>
        <w:pStyle w:val="Normal"/>
        <w:numPr>
          <w:ilvl w:val="0"/>
          <w:numId w:val="0"/>
        </w:numPr>
        <w:outlineLvl w:val="0"/>
        <w:rPr>
          <w:b/>
          <w:sz w:val="20"/>
        </w:rPr>
      </w:pPr>
      <w:r>
        <w:rPr>
          <w:b/>
          <w:sz w:val="20"/>
        </w:rPr>
        <w:t>Floating Amount Details:</w:t>
      </w:r>
    </w:p>
    <w:p>
      <w:pPr>
        <w:pStyle w:val="Normal"/>
        <w:rPr>
          <w:b/>
          <w:sz w:val="20"/>
        </w:rPr>
      </w:pPr>
      <w:r>
        <w:rPr>
          <w:b/>
          <w:sz w:val="20"/>
        </w:rPr>
      </w:r>
    </w:p>
    <w:p>
      <w:pPr>
        <w:pStyle w:val="Normal"/>
        <w:numPr>
          <w:ilvl w:val="0"/>
          <w:numId w:val="0"/>
        </w:numPr>
        <w:jc w:val="both"/>
        <w:outlineLvl w:val="0"/>
        <w:rPr>
          <w:sz w:val="20"/>
        </w:rPr>
      </w:pPr>
      <w:r>
        <w:rPr>
          <w:sz w:val="20"/>
        </w:rPr>
        <w:tab/>
        <w:t>Floating Price Payor:</w:t>
        <w:tab/>
        <w:tab/>
        <w:tab/>
      </w:r>
      <w:r>
        <w:rPr>
          <w:sz w:val="20"/>
        </w:rPr>
        <w:fldChar w:fldCharType="begin"/>
      </w:r>
      <w:r>
        <w:rPr>
          <w:sz w:val="20"/>
        </w:rPr>
        <w:instrText xml:space="preserve"> MERGEFIELD FloatPayerWCP </w:instrText>
      </w:r>
      <w:r>
        <w:rPr>
          <w:sz w:val="20"/>
        </w:rPr>
        <w:fldChar w:fldCharType="separate"/>
      </w:r>
      <w:r>
        <w:rPr>
          <w:sz w:val="20"/>
        </w:rPr>
        <w:t>Counterparty</w:t>
      </w:r>
      <w:r>
        <w:rPr>
          <w:sz w:val="20"/>
        </w:rPr>
        <w:fldChar w:fldCharType="end"/>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Floating Price:</w:t>
            </w:r>
          </w:p>
        </w:tc>
        <w:tc>
          <w:tcPr>
            <w:tcW w:w="6102" w:type="dxa"/>
            <w:tcBorders/>
          </w:tcPr>
          <w:p>
            <w:pPr>
              <w:pStyle w:val="Normal"/>
              <w:jc w:val="both"/>
              <w:rPr>
                <w:sz w:val="20"/>
              </w:rPr>
            </w:pPr>
            <w:r>
              <w:rPr>
                <w:sz w:val="20"/>
              </w:rPr>
              <w:fldChar w:fldCharType="begin"/>
            </w:r>
            <w:r>
              <w:rPr>
                <w:sz w:val="20"/>
              </w:rPr>
              <w:instrText xml:space="preserve"> MERGEFIELD FloatPrice </w:instrText>
            </w:r>
            <w:r>
              <w:rPr>
                <w:sz w:val="20"/>
              </w:rPr>
              <w:fldChar w:fldCharType="separate"/>
            </w:r>
            <w:r>
              <w:rPr>
                <w:sz w:val="20"/>
              </w:rPr>
              <w:t>The AECO “C” Monthly Index, where:  “AECO “C” Monthly Index means the price in US Dollars per MMBtu published in the table “Monthly Canadian and U.S. natural gas price summary” in the Canadian Gas Price Reporter in the row for “Alberta Spot Price-AECO C/NIT (7A)” for the applicable Calculation Period</w:t>
            </w:r>
            <w:r>
              <w:rPr>
                <w:sz w:val="20"/>
              </w:rPr>
              <w:fldChar w:fldCharType="end"/>
            </w:r>
          </w:p>
        </w:tc>
      </w:tr>
      <w:tr>
        <w:trPr/>
        <w:tc>
          <w:tcPr>
            <w:tcW w:w="4338" w:type="dxa"/>
            <w:tcBorders/>
          </w:tcPr>
          <w:p>
            <w:pPr>
              <w:pStyle w:val="Normal"/>
              <w:rPr>
                <w:sz w:val="20"/>
              </w:rPr>
            </w:pPr>
            <w:r>
              <w:rPr>
                <w:sz w:val="20"/>
              </w:rPr>
              <w:t xml:space="preserve">           </w:t>
            </w:r>
            <w:r>
              <w:rPr>
                <w:sz w:val="20"/>
              </w:rPr>
              <w:fldChar w:fldCharType="begin"/>
            </w:r>
            <w:r>
              <w:rPr>
                <w:sz w:val="20"/>
              </w:rPr>
              <w:instrText xml:space="preserve"> MERGEFIELD AlternatePriceLit </w:instrText>
            </w:r>
            <w:r>
              <w:rPr>
                <w:sz w:val="20"/>
              </w:rPr>
              <w:fldChar w:fldCharType="separate"/>
            </w:r>
            <w:r>
              <w:rPr>
                <w:sz w:val="20"/>
              </w:rPr>
              <w:t xml:space="preserve"> </w:t>
            </w:r>
            <w:r>
              <w:rPr>
                <w:sz w:val="20"/>
              </w:rPr>
              <w:fldChar w:fldCharType="end"/>
            </w:r>
          </w:p>
        </w:tc>
        <w:tc>
          <w:tcPr>
            <w:tcW w:w="6102" w:type="dxa"/>
            <w:tcBorders/>
          </w:tcPr>
          <w:p>
            <w:pPr>
              <w:pStyle w:val="Normal"/>
              <w:jc w:val="both"/>
              <w:rPr>
                <w:sz w:val="20"/>
              </w:rPr>
            </w:pPr>
            <w:r>
              <w:rPr>
                <w:sz w:val="20"/>
              </w:rPr>
              <w:fldChar w:fldCharType="begin"/>
            </w:r>
            <w:r>
              <w:rPr>
                <w:sz w:val="20"/>
              </w:rPr>
              <w:instrText xml:space="preserve"> MERGEFIELD AlternatePrice </w:instrText>
            </w:r>
            <w:r>
              <w:rPr>
                <w:sz w:val="20"/>
              </w:rPr>
              <w:fldChar w:fldCharType="separate"/>
            </w:r>
            <w:r>
              <w:rPr>
                <w:sz w:val="20"/>
              </w:rPr>
              <w:t xml:space="preserve"> </w:t>
            </w:r>
            <w:r>
              <w:rPr>
                <w:sz w:val="20"/>
              </w:rPr>
              <w:fldChar w:fldCharType="end"/>
            </w:r>
          </w:p>
        </w:tc>
      </w:tr>
    </w:tbl>
    <w:p>
      <w:pPr>
        <w:pStyle w:val="Normal"/>
        <w:rPr>
          <w:sz w:val="20"/>
        </w:rPr>
      </w:pPr>
      <w:r>
        <w:rPr>
          <w:sz w:val="20"/>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3"/>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0"/>
        </w:rPr>
      </w:pPr>
      <w:r>
        <w:rPr>
          <w:color w:val="FF0000"/>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CATEQUIL PARTNERS, L.P.</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rPr>
          <w:sz w:val="20"/>
        </w:rPr>
      </w:pPr>
      <w:r>
        <w:rPr>
          <w:sz w:val="20"/>
        </w:rPr>
        <w:t>Title:</w:t>
        <w:tab/>
        <w:t>_____________________________</w:t>
      </w:r>
    </w:p>
    <w:p>
      <w:pPr>
        <w:pStyle w:val="Normal"/>
        <w:keepNext w:val="true"/>
        <w:jc w:val="center"/>
        <w:rPr>
          <w:b/>
          <w:color w:val="000000"/>
          <w:sz w:val="20"/>
          <w:u w:val="single"/>
        </w:rPr>
      </w:pPr>
      <w:r>
        <w:rPr>
          <w:b/>
          <w:color w:val="000000"/>
          <w:sz w:val="20"/>
          <w:u w:val="single"/>
        </w:rPr>
        <w:t>EXHIBIT 1</w:t>
      </w:r>
    </w:p>
    <w:p>
      <w:pPr>
        <w:pStyle w:val="Normal"/>
        <w:keepNext w:val="true"/>
        <w:jc w:val="end"/>
        <w:rPr>
          <w:b/>
          <w:color w:val="000000"/>
          <w:sz w:val="20"/>
          <w:u w:val="single"/>
        </w:rPr>
      </w:pPr>
      <w:r>
        <w:rPr>
          <w:b/>
          <w:color w:val="000000"/>
          <w:sz w:val="20"/>
          <w:u w:val="single"/>
        </w:rPr>
      </w:r>
    </w:p>
    <w:p>
      <w:pPr>
        <w:pStyle w:val="Normal"/>
        <w:jc w:val="end"/>
        <w:rPr>
          <w:color w:val="000000"/>
          <w:sz w:val="20"/>
        </w:rPr>
      </w:pPr>
      <w:r>
        <w:rPr>
          <w:color w:val="000000"/>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[Letterhead of</w:t>
      </w:r>
    </w:p>
    <w:p>
      <w:pPr>
        <w:pStyle w:val="Normal"/>
        <w:jc w:val="center"/>
        <w:rPr>
          <w:sz w:val="20"/>
        </w:rPr>
      </w:pPr>
      <w:r>
        <w:rPr>
          <w:sz w:val="20"/>
        </w:rPr>
        <w:t>Counsel to Counterparty]</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[Date]</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sz w:val="20"/>
        </w:rPr>
      </w:pPr>
      <w:r>
        <w:rPr>
          <w:rFonts w:cs="Times New Roman"/>
          <w:sz w:val="20"/>
        </w:rPr>
      </w:r>
    </w:p>
    <w:p>
      <w:pPr>
        <w:pStyle w:val="Normal"/>
        <w:rPr>
          <w:sz w:val="20"/>
        </w:rPr>
      </w:pPr>
      <w:r>
        <w:rPr>
          <w:sz w:val="20"/>
        </w:rPr>
        <w:t>Dear Sir or Madam:</w:t>
      </w:r>
    </w:p>
    <w:p>
      <w:pPr>
        <w:pStyle w:val="Normal"/>
        <w:rPr>
          <w:sz w:val="20"/>
        </w:rPr>
      </w:pPr>
      <w:r>
        <w:rPr>
          <w:sz w:val="20"/>
        </w:rPr>
      </w:r>
    </w:p>
    <w:p>
      <w:pPr>
        <w:pStyle w:val="Normal"/>
        <w:ind w:firstLine="1440" w:end="0"/>
        <w:jc w:val="both"/>
        <w:rPr>
          <w:sz w:val="20"/>
        </w:rPr>
      </w:pPr>
      <w:r>
        <w:rPr>
          <w:sz w:val="20"/>
        </w:rPr>
        <w:t>We have acted as counsel to Catequil Partners, L.P.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20"/>
        </w:rPr>
      </w:pPr>
      <w:r>
        <w:rPr>
          <w:sz w:val="20"/>
        </w:rPr>
      </w:r>
    </w:p>
    <w:p>
      <w:pPr>
        <w:pStyle w:val="Normal"/>
        <w:jc w:val="both"/>
        <w:rPr/>
      </w:pPr>
      <w:r>
        <w:rPr>
          <w:sz w:val="20"/>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0"/>
          <w:u w:val="single"/>
        </w:rPr>
        <w:t xml:space="preserve">                                              </w:t>
      </w:r>
      <w:r>
        <w:rPr>
          <w:sz w:val="20"/>
        </w:rPr>
        <w:t>.</w:t>
      </w:r>
    </w:p>
    <w:p>
      <w:pPr>
        <w:pStyle w:val="Normal"/>
        <w:jc w:val="both"/>
        <w:rPr>
          <w:sz w:val="20"/>
        </w:rPr>
      </w:pPr>
      <w:r>
        <w:rPr>
          <w:sz w:val="20"/>
        </w:rPr>
      </w:r>
    </w:p>
    <w:p>
      <w:pPr>
        <w:pStyle w:val="Normal"/>
        <w:jc w:val="both"/>
        <w:rPr>
          <w:sz w:val="20"/>
        </w:rPr>
      </w:pPr>
      <w:r>
        <w:rPr>
          <w:sz w:val="20"/>
        </w:rPr>
        <w:tab/>
        <w:tab/>
        <w:t>Based upon the foregoing and having regard for such legal considerations as we deem relevant, we are of opinion that:</w:t>
      </w:r>
    </w:p>
    <w:p>
      <w:pPr>
        <w:pStyle w:val="Normal"/>
        <w:jc w:val="both"/>
        <w:rPr>
          <w:sz w:val="20"/>
        </w:rPr>
      </w:pPr>
      <w:r>
        <w:rPr>
          <w:sz w:val="20"/>
        </w:rPr>
      </w:r>
    </w:p>
    <w:p>
      <w:pPr>
        <w:pStyle w:val="Normal"/>
        <w:tabs>
          <w:tab w:val="clear" w:pos="720"/>
          <w:tab w:val="left" w:pos="1440" w:leader="none"/>
        </w:tabs>
        <w:jc w:val="both"/>
        <w:rPr>
          <w:sz w:val="20"/>
        </w:rPr>
      </w:pPr>
      <w:r>
        <w:rPr>
          <w:sz w:val="20"/>
        </w:rPr>
        <w:tab/>
        <w:t>1.  The Counterparty is a [__________________] duly existing under the laws of [________________].</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2.  The Counterparty has full corporate power to execute and deliver the Agreement and to perform its obligations thereunder.</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0"/>
        </w:rPr>
      </w:pPr>
      <w:r>
        <w:rPr>
          <w:sz w:val="20"/>
        </w:rPr>
      </w:r>
    </w:p>
    <w:p>
      <w:pPr>
        <w:pStyle w:val="Normal"/>
        <w:keepNext w:val="true"/>
        <w:jc w:val="end"/>
        <w:rPr>
          <w:sz w:val="20"/>
        </w:rPr>
      </w:pPr>
      <w:r>
        <w:rPr>
          <w:sz w:val="20"/>
        </w:rPr>
        <w:t>Very truly yours</w:t>
        <w:tab/>
        <w:tab/>
        <w:tab/>
      </w:r>
    </w:p>
    <w:p>
      <w:pPr>
        <w:pStyle w:val="Normal"/>
        <w:keepNext w:val="true"/>
        <w:jc w:val="end"/>
        <w:rPr>
          <w:sz w:val="20"/>
        </w:rPr>
      </w:pPr>
      <w:r>
        <w:rPr>
          <w:sz w:val="20"/>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Catequil Partners,  L.P.</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and Party B make the following representations:</w:t>
      </w:r>
    </w:p>
    <w:p>
      <w:pPr>
        <w:pStyle w:val="Normal"/>
        <w:spacing w:lineRule="exact" w:line="240" w:before="240" w:after="0"/>
        <w:ind w:hanging="180" w:start="900" w:end="0"/>
        <w:jc w:val="both"/>
        <w:rPr>
          <w:sz w:val="20"/>
        </w:rPr>
      </w:pPr>
      <w:r>
        <w:rPr>
          <w:sz w:val="20"/>
        </w:rPr>
        <w:t>(i)</w:t>
        <w:tab/>
        <w:t>The following representation applies to Party A:</w:t>
      </w:r>
    </w:p>
    <w:p>
      <w:pPr>
        <w:pStyle w:val="Normal"/>
        <w:spacing w:lineRule="exact" w:line="240" w:before="240" w:after="0"/>
        <w:ind w:firstLine="540" w:start="900" w:end="0"/>
        <w:jc w:val="both"/>
        <w:rPr>
          <w:sz w:val="20"/>
        </w:rPr>
      </w:pPr>
      <w:r>
        <w:rPr>
          <w:sz w:val="20"/>
        </w:rPr>
        <w:t>Party A is a corporation organized under the law of the State of Delaware.</w:t>
      </w:r>
    </w:p>
    <w:p>
      <w:pPr>
        <w:pStyle w:val="Normal"/>
        <w:spacing w:lineRule="exact" w:line="240" w:before="240" w:after="0"/>
        <w:ind w:hanging="180" w:start="900" w:end="0"/>
        <w:jc w:val="both"/>
        <w:rPr>
          <w:sz w:val="20"/>
        </w:rPr>
      </w:pPr>
      <w:r>
        <w:rPr>
          <w:sz w:val="20"/>
        </w:rPr>
        <w:t>(ii)</w:t>
        <w:tab/>
        <w:t>The following representation applies to Party B:</w:t>
      </w:r>
    </w:p>
    <w:p>
      <w:pPr>
        <w:pStyle w:val="Normal"/>
        <w:spacing w:lineRule="exact" w:line="240" w:before="240" w:after="0"/>
        <w:ind w:firstLine="540" w:start="900" w:end="0"/>
        <w:jc w:val="both"/>
        <w:rPr/>
      </w:pPr>
      <w:r>
        <w:rPr>
          <w:sz w:val="20"/>
        </w:rPr>
        <w:t xml:space="preserve">Party B is a limited partnership organized under the law of the State of </w:t>
      </w:r>
      <w:r>
        <w:rPr>
          <w:sz w:val="20"/>
          <w:u w:val="single"/>
        </w:rPr>
        <w:tab/>
        <w:tab/>
        <w:tab/>
      </w:r>
    </w:p>
    <w:p>
      <w:pPr>
        <w:pStyle w:val="Normal"/>
        <w:tabs>
          <w:tab w:val="clear" w:pos="720"/>
          <w:tab w:val="left" w:pos="1080" w:leader="none"/>
        </w:tabs>
        <w:spacing w:lineRule="exact" w:line="480"/>
        <w:jc w:val="both"/>
        <w:rPr>
          <w:b/>
          <w:sz w:val="20"/>
        </w:rPr>
      </w:pPr>
      <w:r>
        <w:rPr>
          <w:b/>
          <w:sz w:val="20"/>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Events of Default are added to Section 5(a) of the ISDA Agreement:</w:t>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Normal"/>
        <w:ind w:firstLine="720" w:end="0"/>
        <w:jc w:val="both"/>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10 to 1; or</w:t>
      </w:r>
    </w:p>
    <w:p>
      <w:pPr>
        <w:pStyle w:val="Normal"/>
        <w:spacing w:before="120" w:after="0"/>
        <w:ind w:firstLine="1530" w:start="-810" w:end="0"/>
        <w:jc w:val="both"/>
        <w:rPr>
          <w:sz w:val="20"/>
        </w:rPr>
      </w:pPr>
      <w:r>
        <w:rPr>
          <w:sz w:val="20"/>
        </w:rPr>
        <w:t>(xii)</w:t>
        <w:tab/>
        <w:t>if Counterparty’s Net Asset Value falls below U.S. $50,000,000; or</w:t>
      </w:r>
    </w:p>
    <w:p>
      <w:pPr>
        <w:pStyle w:val="Normal"/>
        <w:spacing w:before="120" w:after="0"/>
        <w:ind w:hanging="720" w:start="1440" w:end="0"/>
        <w:jc w:val="both"/>
        <w:rPr>
          <w:sz w:val="20"/>
        </w:rPr>
      </w:pPr>
      <w:r>
        <w:rPr>
          <w:sz w:val="20"/>
        </w:rPr>
        <w:t>(xiii)</w:t>
        <w:tab/>
        <w:t>if Counterparty’s Manager resigns, is terminated or is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 w:val="20"/>
        </w:rPr>
        <w:t xml:space="preserve">; </w:t>
      </w:r>
      <w:r>
        <w:rPr>
          <w:sz w:val="20"/>
        </w:rPr>
        <w:t xml:space="preserve">and with respect to Party B, U.S. $2,000,000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sz w:val="20"/>
        </w:rPr>
      </w:pPr>
      <w:r>
        <w:rPr>
          <w:color w:val="000000"/>
          <w:sz w:val="20"/>
        </w:rPr>
      </w:r>
    </w:p>
    <w:p>
      <w:pPr>
        <w:pStyle w:val="Normal"/>
        <w:ind w:start="360" w:end="0"/>
        <w:jc w:val="both"/>
        <w:rPr/>
      </w:pPr>
      <w:r>
        <w:rPr>
          <w:i/>
          <w:sz w:val="20"/>
        </w:rPr>
        <w:t xml:space="preserve"> “</w:t>
      </w:r>
      <w:r>
        <w:rPr>
          <w:i/>
          <w:sz w:val="20"/>
          <w:u w:val="single"/>
        </w:rPr>
        <w:t>Net Asset Value</w:t>
      </w:r>
      <w:r>
        <w:rPr>
          <w:i/>
          <w:sz w:val="20"/>
        </w:rPr>
        <w:t>”</w:t>
      </w:r>
      <w:r>
        <w:rPr>
          <w:b/>
          <w:sz w:val="20"/>
        </w:rPr>
        <w:t xml:space="preserve"> </w:t>
      </w:r>
      <w:r>
        <w:rPr>
          <w:sz w:val="20"/>
        </w:rPr>
        <w:t>means 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w:t>
      </w:r>
      <w:r>
        <w:rPr>
          <w:sz w:val="20"/>
        </w:rPr>
        <w:t>.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Within ten (10) Business Days of the date of this Confirmation, ENA shall cause to be delivered to Counterparty the duly executed guaranty (</w:t>
      </w:r>
      <w:r>
        <w:rPr>
          <w:i/>
          <w:sz w:val="20"/>
        </w:rPr>
        <w:t>"</w:t>
      </w:r>
      <w:r>
        <w:rPr>
          <w:i/>
          <w:sz w:val="20"/>
          <w:u w:val="single"/>
        </w:rPr>
        <w:t>Guaranty</w:t>
      </w:r>
      <w:r>
        <w:rPr>
          <w:i/>
          <w:sz w:val="20"/>
        </w:rPr>
        <w:t>"</w:t>
      </w:r>
      <w:r>
        <w:rPr>
          <w:sz w:val="20"/>
        </w:rPr>
        <w:t>) from its Credit Support Provider in favor of Counterparty in the form attached as Annex B-2,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5">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(g)</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ind w:hanging="720" w:start="1440" w:end="0"/>
        <w:jc w:val="both"/>
        <w:rPr/>
      </w:pPr>
      <w:r>
        <w:rPr>
          <w:sz w:val="20"/>
        </w:rPr>
        <w:t>(i)</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(j)</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(k)</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sz w:val="20"/>
        </w:rPr>
      </w:pPr>
      <w:r>
        <w:rPr>
          <w:b/>
          <w:sz w:val="20"/>
          <w:u w:val="single"/>
        </w:rPr>
        <w:t>ANNEX B-2</w:t>
      </w:r>
    </w:p>
    <w:p>
      <w:pPr>
        <w:pStyle w:val="Normal"/>
        <w:ind w:end="180"/>
        <w:jc w:val="center"/>
        <w:rPr>
          <w:b/>
          <w:sz w:val="20"/>
        </w:rPr>
      </w:pPr>
      <w:r>
        <w:rPr>
          <w:b/>
          <w:sz w:val="20"/>
        </w:rPr>
      </w:r>
    </w:p>
    <w:p>
      <w:pPr>
        <w:pStyle w:val="Normal"/>
        <w:ind w:end="180"/>
        <w:jc w:val="center"/>
        <w:rPr>
          <w:b/>
          <w:sz w:val="20"/>
        </w:rPr>
      </w:pPr>
      <w:r>
        <w:rPr>
          <w:b/>
          <w:sz w:val="20"/>
        </w:rPr>
        <w:t>ENRON CORP.</w:t>
      </w:r>
    </w:p>
    <w:p>
      <w:pPr>
        <w:pStyle w:val="Normal"/>
        <w:spacing w:lineRule="exact" w:line="240"/>
        <w:ind w:end="180"/>
        <w:jc w:val="center"/>
        <w:rPr>
          <w:b/>
          <w:sz w:val="20"/>
          <w:u w:val="single"/>
        </w:rPr>
      </w:pPr>
      <w:r>
        <w:rPr>
          <w:b/>
          <w:sz w:val="20"/>
          <w:u w:val="single"/>
        </w:rPr>
      </w:r>
    </w:p>
    <w:p>
      <w:pPr>
        <w:pStyle w:val="Normal"/>
        <w:spacing w:lineRule="exact" w:line="240"/>
        <w:ind w:end="180"/>
        <w:jc w:val="center"/>
        <w:rPr>
          <w:sz w:val="20"/>
        </w:rPr>
      </w:pPr>
      <w:r>
        <w:rPr>
          <w:sz w:val="20"/>
          <w:u w:val="single"/>
        </w:rPr>
        <w:t>Guaranty</w:t>
      </w:r>
    </w:p>
    <w:p>
      <w:pPr>
        <w:pStyle w:val="Normal"/>
        <w:spacing w:lineRule="exact" w:line="480"/>
        <w:jc w:val="both"/>
        <w:rPr>
          <w:sz w:val="20"/>
        </w:rPr>
      </w:pPr>
      <w:r>
        <w:rPr>
          <w:sz w:val="20"/>
        </w:rPr>
      </w:r>
    </w:p>
    <w:p>
      <w:pPr>
        <w:pStyle w:val="Normal"/>
        <w:spacing w:lineRule="atLeast" w:line="240"/>
        <w:ind w:firstLine="720" w:end="0"/>
        <w:jc w:val="both"/>
        <w:rPr/>
      </w:pPr>
      <w:r>
        <w:rPr>
          <w:sz w:val="20"/>
        </w:rPr>
        <w:t xml:space="preserve">This Guaranty (this “Guaranty”), dated effective as of </w:t>
      </w:r>
      <w:r>
        <w:rPr>
          <w:sz w:val="20"/>
          <w:u w:val="single"/>
        </w:rPr>
        <w:tab/>
        <w:tab/>
      </w:r>
      <w:r>
        <w:rPr>
          <w:sz w:val="20"/>
        </w:rPr>
        <w:t xml:space="preserve">, 2001 (the “Effective Date”), is made and entered into by </w:t>
      </w:r>
      <w:r>
        <w:rPr>
          <w:caps/>
          <w:sz w:val="20"/>
        </w:rPr>
        <w:t>Enron Corp.</w:t>
      </w:r>
      <w:r>
        <w:rPr>
          <w:sz w:val="20"/>
        </w:rPr>
        <w:t>, an Oregon corporation (“Guarantor”).</w:t>
      </w:r>
    </w:p>
    <w:p>
      <w:pPr>
        <w:pStyle w:val="Normal"/>
        <w:keepNext w:val="true"/>
        <w:spacing w:lineRule="exact" w:line="240" w:before="480" w:after="0"/>
        <w:jc w:val="center"/>
        <w:rPr>
          <w:b/>
          <w:caps/>
          <w:sz w:val="20"/>
        </w:rPr>
      </w:pPr>
      <w:r>
        <w:rPr>
          <w:b/>
          <w:caps/>
          <w:sz w:val="20"/>
        </w:rPr>
        <w:t>W I T N E S S E T H:</w:t>
      </w:r>
    </w:p>
    <w:p>
      <w:pPr>
        <w:pStyle w:val="Normal"/>
        <w:spacing w:lineRule="atLeast" w:line="240"/>
        <w:jc w:val="both"/>
        <w:rPr>
          <w:b/>
          <w:caps/>
          <w:sz w:val="20"/>
        </w:rPr>
      </w:pPr>
      <w:r>
        <w:rPr>
          <w:b/>
          <w:caps/>
          <w:sz w:val="20"/>
        </w:rPr>
      </w:r>
    </w:p>
    <w:p>
      <w:pPr>
        <w:pStyle w:val="Normal"/>
        <w:spacing w:lineRule="atLeast" w:line="240"/>
        <w:ind w:firstLine="720" w:end="0"/>
        <w:jc w:val="both"/>
        <w:rPr/>
      </w:pPr>
      <w:r>
        <w:rPr>
          <w:sz w:val="20"/>
        </w:rPr>
        <w:t xml:space="preserve">WHEREAS, CATEQUIL PARTNERS, L.P., a </w:t>
      </w:r>
      <w:r>
        <w:rPr>
          <w:sz w:val="20"/>
          <w:u w:val="single"/>
        </w:rPr>
        <w:tab/>
        <w:tab/>
        <w:tab/>
      </w:r>
      <w:r>
        <w:rPr>
          <w:sz w:val="20"/>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WHEREAS, Guarantor will directly or indirectly benefit from the transactions to be entered into between Enron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NOW THEREFORE, in consideration of Counterparty entering into the Contract, Guarantor hereby covenants and agrees as follows: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1.  </w:t>
      </w:r>
      <w:r>
        <w:rPr>
          <w:sz w:val="20"/>
          <w:u w:val="single"/>
        </w:rPr>
        <w:t>GUARANTY</w:t>
      </w:r>
      <w:r>
        <w:rPr>
          <w:sz w:val="20"/>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2.  </w:t>
      </w:r>
      <w:r>
        <w:rPr>
          <w:sz w:val="20"/>
          <w:u w:val="single"/>
        </w:rPr>
        <w:t>DEMANDS AND NOTICE</w:t>
      </w:r>
      <w:r>
        <w:rPr>
          <w:sz w:val="20"/>
        </w:rPr>
        <w:t>.  Upon the occurrence and during the continuance of an Event of Default,</w:t>
      </w:r>
      <w:r>
        <w:rPr>
          <w:color w:val="FF0000"/>
          <w:sz w:val="20"/>
        </w:rPr>
        <w:t xml:space="preserve"> </w:t>
      </w:r>
      <w:r>
        <w:rPr>
          <w:sz w:val="20"/>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0"/>
        </w:rPr>
      </w:pPr>
      <w:r>
        <w:rPr>
          <w:sz w:val="20"/>
        </w:rPr>
      </w:r>
    </w:p>
    <w:p>
      <w:pPr>
        <w:pStyle w:val="Normal"/>
        <w:keepNext w:val="true"/>
        <w:spacing w:lineRule="atLeast" w:line="240"/>
        <w:ind w:firstLine="720" w:end="0"/>
        <w:jc w:val="both"/>
        <w:rPr/>
      </w:pPr>
      <w:r>
        <w:rPr>
          <w:sz w:val="20"/>
        </w:rPr>
        <w:t xml:space="preserve">3.  </w:t>
      </w:r>
      <w:r>
        <w:rPr>
          <w:sz w:val="20"/>
          <w:u w:val="single"/>
        </w:rPr>
        <w:t>REPRESENTATIONS AND WARRANTIES</w:t>
      </w:r>
      <w:r>
        <w:rPr>
          <w:sz w:val="20"/>
        </w:rPr>
        <w:t>.  Guarantor represents and warrants that:</w:t>
      </w:r>
    </w:p>
    <w:p>
      <w:pPr>
        <w:pStyle w:val="Normal"/>
        <w:keepNext w:val="true"/>
        <w:spacing w:lineRule="exact" w:line="240" w:before="240" w:after="0"/>
        <w:ind w:firstLine="630" w:start="810" w:end="0"/>
        <w:jc w:val="both"/>
        <w:rPr>
          <w:sz w:val="20"/>
        </w:rPr>
      </w:pPr>
      <w:r>
        <w:rPr>
          <w:sz w:val="20"/>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0"/>
        </w:rPr>
      </w:pPr>
      <w:r>
        <w:rPr>
          <w:sz w:val="2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0"/>
        </w:rPr>
      </w:pPr>
      <w:r>
        <w:rPr>
          <w:sz w:val="2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4.  </w:t>
      </w:r>
      <w:r>
        <w:rPr>
          <w:sz w:val="20"/>
          <w:u w:val="single"/>
        </w:rPr>
        <w:t>SETOFFS AND COUNTERCLAIMS</w:t>
      </w:r>
      <w:r>
        <w:rPr>
          <w:sz w:val="20"/>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5.  </w:t>
      </w:r>
      <w:r>
        <w:rPr>
          <w:sz w:val="20"/>
          <w:u w:val="single"/>
        </w:rPr>
        <w:t>AMENDMENT OF GUARANTY</w:t>
      </w:r>
      <w:r>
        <w:rPr>
          <w:sz w:val="20"/>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6.  </w:t>
      </w:r>
      <w:r>
        <w:rPr>
          <w:sz w:val="20"/>
          <w:u w:val="single"/>
        </w:rPr>
        <w:t>WAIVERS</w:t>
      </w:r>
      <w:r>
        <w:rPr>
          <w:sz w:val="20"/>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7.  </w:t>
      </w:r>
      <w:r>
        <w:rPr>
          <w:sz w:val="20"/>
          <w:u w:val="single"/>
        </w:rPr>
        <w:t>NOTICE</w:t>
      </w:r>
      <w:r>
        <w:rPr>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0"/>
        </w:rPr>
      </w:pPr>
      <w:r>
        <w:rPr>
          <w:sz w:val="20"/>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0"/>
              </w:rPr>
            </w:pPr>
            <w:r>
              <w:rPr>
                <w:color w:val="000000"/>
                <w:sz w:val="20"/>
              </w:rPr>
              <w:t>To Counterparty:</w:t>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Catequil Partners, L.P.</w:t>
            </w:r>
          </w:p>
        </w:tc>
        <w:tc>
          <w:tcPr>
            <w:tcW w:w="1530" w:type="dxa"/>
            <w:tcBorders/>
          </w:tcPr>
          <w:p>
            <w:pPr>
              <w:pStyle w:val="Normal"/>
              <w:keepNext w:val="true"/>
              <w:keepLines/>
              <w:spacing w:lineRule="atLeast" w:line="240"/>
              <w:rPr>
                <w:color w:val="000000"/>
                <w:sz w:val="20"/>
              </w:rPr>
            </w:pPr>
            <w:r>
              <w:rPr>
                <w:color w:val="000000"/>
                <w:sz w:val="20"/>
              </w:rPr>
              <w:t>To Guarantor:</w:t>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Enron Corp.</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1400 Smith Street</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Houston, Texas 77002</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pPr>
            <w:r>
              <w:rPr>
                <w:color w:val="000000"/>
                <w:sz w:val="20"/>
              </w:rPr>
              <w:t xml:space="preserve">Attn.:  </w:t>
            </w:r>
            <w:r>
              <w:rPr>
                <w:color w:val="000000"/>
                <w:sz w:val="20"/>
                <w:u w:val="single"/>
              </w:rPr>
              <w:tab/>
            </w:r>
          </w:p>
          <w:p>
            <w:pPr>
              <w:pStyle w:val="Normal"/>
              <w:keepNext w:val="true"/>
              <w:keepLines/>
              <w:tabs>
                <w:tab w:val="clear" w:pos="720"/>
                <w:tab w:val="left" w:pos="3132" w:leader="none"/>
              </w:tabs>
              <w:spacing w:lineRule="atLeast" w:line="240"/>
              <w:rPr>
                <w:color w:val="000000"/>
                <w:sz w:val="20"/>
                <w:u w:val="single"/>
              </w:rPr>
            </w:pPr>
            <w:r>
              <w:rPr>
                <w:color w:val="000000"/>
                <w:sz w:val="20"/>
                <w:u w:val="single"/>
              </w:rPr>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Attn.:  Vice President, Finance and Treasurer</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 xml:space="preserve">Fax No.:  </w:t>
            </w: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Fax No.:  (713) 646-3422</w:t>
            </w:r>
          </w:p>
        </w:tc>
      </w:tr>
    </w:tbl>
    <w:p>
      <w:pPr>
        <w:pStyle w:val="Normal"/>
        <w:tabs>
          <w:tab w:val="clear" w:pos="720"/>
          <w:tab w:val="left" w:pos="2880" w:leader="none"/>
          <w:tab w:val="left" w:pos="6480" w:leader="none"/>
        </w:tabs>
        <w:spacing w:lineRule="exact" w:line="240"/>
        <w:ind w:start="720" w:end="0"/>
        <w:jc w:val="both"/>
        <w:rPr>
          <w:sz w:val="20"/>
        </w:rPr>
      </w:pPr>
      <w:r>
        <w:rPr>
          <w:sz w:val="20"/>
        </w:rPr>
      </w:r>
    </w:p>
    <w:p>
      <w:pPr>
        <w:pStyle w:val="Normal"/>
        <w:spacing w:lineRule="atLeast" w:line="240"/>
        <w:jc w:val="both"/>
        <w:rPr>
          <w:sz w:val="20"/>
        </w:rPr>
      </w:pPr>
      <w:r>
        <w:rPr>
          <w:sz w:val="20"/>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0"/>
        </w:rPr>
      </w:pPr>
      <w:r>
        <w:rPr>
          <w:sz w:val="20"/>
        </w:rPr>
      </w:r>
    </w:p>
    <w:p>
      <w:pPr>
        <w:pStyle w:val="Normal"/>
        <w:spacing w:lineRule="atLeast" w:line="240"/>
        <w:ind w:firstLine="720" w:end="0"/>
        <w:jc w:val="both"/>
        <w:rPr>
          <w:sz w:val="20"/>
        </w:rPr>
      </w:pPr>
      <w:r>
        <w:rPr>
          <w:sz w:val="20"/>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8.  </w:t>
      </w:r>
      <w:r>
        <w:rPr>
          <w:sz w:val="20"/>
          <w:u w:val="single"/>
        </w:rPr>
        <w:t>MISCELLANEOUS</w:t>
      </w:r>
      <w:r>
        <w:rPr>
          <w:sz w:val="20"/>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IN WITNESS WHEREOF, the Guarantor has executed this Guaranty on </w:t>
        <w:tab/>
      </w:r>
      <w:r>
        <w:rPr>
          <w:sz w:val="20"/>
          <w:u w:val="single"/>
        </w:rPr>
        <w:tab/>
      </w:r>
      <w:r>
        <w:rPr>
          <w:sz w:val="20"/>
        </w:rPr>
        <w:t>, 2001, but it is effective as of the Effective Date.</w:t>
      </w:r>
    </w:p>
    <w:p>
      <w:pPr>
        <w:pStyle w:val="Normal"/>
        <w:spacing w:lineRule="atLeast" w:line="240"/>
        <w:ind w:firstLine="720" w:end="0"/>
        <w:jc w:val="both"/>
        <w:rPr>
          <w:sz w:val="20"/>
        </w:rPr>
      </w:pPr>
      <w:r>
        <w:rPr>
          <w:sz w:val="20"/>
        </w:rPr>
      </w:r>
    </w:p>
    <w:p>
      <w:pPr>
        <w:pStyle w:val="Normal"/>
        <w:spacing w:lineRule="atLeast" w:line="240"/>
        <w:ind w:start="5040" w:end="0"/>
        <w:jc w:val="both"/>
        <w:rPr>
          <w:b/>
          <w:sz w:val="20"/>
        </w:rPr>
      </w:pPr>
      <w:r>
        <w:rPr>
          <w:b/>
          <w:sz w:val="20"/>
        </w:rPr>
        <w:t>ENRON CORP.</w:t>
      </w:r>
    </w:p>
    <w:p>
      <w:pPr>
        <w:pStyle w:val="Normal"/>
        <w:spacing w:lineRule="atLeast" w:line="240"/>
        <w:ind w:start="5040" w:end="0"/>
        <w:jc w:val="both"/>
        <w:rPr>
          <w:b/>
          <w:sz w:val="20"/>
        </w:rPr>
      </w:pPr>
      <w:r>
        <w:rPr>
          <w:b/>
          <w:sz w:val="20"/>
        </w:rPr>
      </w:r>
    </w:p>
    <w:p>
      <w:pPr>
        <w:pStyle w:val="Normal"/>
        <w:spacing w:lineRule="atLeast" w:line="240"/>
        <w:ind w:start="5040" w:end="0"/>
        <w:jc w:val="both"/>
        <w:rPr>
          <w:b/>
          <w:sz w:val="20"/>
        </w:rPr>
      </w:pPr>
      <w:r>
        <w:rPr>
          <w:b/>
          <w:sz w:val="20"/>
        </w:rPr>
      </w:r>
    </w:p>
    <w:p>
      <w:pPr>
        <w:pStyle w:val="Normal"/>
        <w:spacing w:lineRule="atLeast" w:line="240"/>
        <w:ind w:start="5040" w:end="0"/>
        <w:jc w:val="both"/>
        <w:rPr>
          <w:sz w:val="20"/>
        </w:rPr>
      </w:pPr>
      <w:r>
        <w:rPr>
          <w:sz w:val="20"/>
        </w:rPr>
        <w:t xml:space="preserve">By:  </w:t>
      </w:r>
      <w:r>
        <w:rPr>
          <w:sz w:val="20"/>
          <w:u w:val="single"/>
        </w:rPr>
        <w:tab/>
        <w:tab/>
        <w:tab/>
        <w:tab/>
        <w:tab/>
      </w:r>
    </w:p>
    <w:p>
      <w:pPr>
        <w:pStyle w:val="Normal"/>
        <w:spacing w:lineRule="atLeast" w:line="240"/>
        <w:ind w:start="5040" w:end="0"/>
        <w:jc w:val="both"/>
        <w:rPr>
          <w:sz w:val="20"/>
        </w:rPr>
      </w:pPr>
      <w:r>
        <w:rPr>
          <w:sz w:val="20"/>
        </w:rPr>
        <w:t xml:space="preserve">Name:  </w:t>
      </w:r>
      <w:r>
        <w:rPr>
          <w:sz w:val="20"/>
          <w:u w:val="single"/>
        </w:rPr>
        <w:tab/>
        <w:tab/>
        <w:tab/>
        <w:tab/>
        <w:tab/>
      </w:r>
    </w:p>
    <w:p>
      <w:pPr>
        <w:pStyle w:val="Normal"/>
        <w:spacing w:lineRule="atLeast" w:line="240"/>
        <w:ind w:start="5040" w:end="0"/>
        <w:jc w:val="both"/>
        <w:rPr>
          <w:sz w:val="20"/>
        </w:rPr>
      </w:pPr>
      <w:r>
        <w:rPr>
          <w:sz w:val="20"/>
        </w:rPr>
        <w:t xml:space="preserve">Title:  </w:t>
      </w:r>
      <w:r>
        <w:rPr>
          <w:sz w:val="20"/>
          <w:u w:val="single"/>
        </w:rPr>
        <w:tab/>
        <w:tab/>
        <w:tab/>
        <w:tab/>
        <w:tab/>
      </w:r>
    </w:p>
    <w:p>
      <w:pPr>
        <w:pStyle w:val="Normal"/>
        <w:rPr>
          <w:sz w:val="20"/>
        </w:rPr>
      </w:pPr>
      <w:r>
        <w:rPr>
          <w:sz w:val="20"/>
        </w:rPr>
      </w:r>
    </w:p>
    <w:sectPr>
      <w:headerReference w:type="default" r:id="rId24"/>
      <w:headerReference w:type="first" r:id="rId25"/>
      <w:footerReference w:type="default" r:id="rId26"/>
      <w:footerReference w:type="first" r:id="rId27"/>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QW3079.1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QW3079.1</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QW3079.1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QW3079.1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QW3079.1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QW3079.1</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QW3079.1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rFonts w:ascii="Arial" w:hAnsi="Arial" w:cs="Arial"/>
      <w:sz w:val="22"/>
    </w:rPr>
  </w:style>
  <w:style w:type="paragraph" w:styleId="Index1">
    <w:name w:val="index 1"/>
    <w:basedOn w:val="Normal"/>
    <w:next w:val="Normal"/>
    <w:pPr/>
    <w:rPr>
      <w:rFonts w:ascii="Arial" w:hAnsi="Arial" w:cs="Arial"/>
      <w:sz w:val="20"/>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yperlink" Target="http://www.enron.com/" TargetMode="Externa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2001-03-15T19:42:00Z</dcterms:created>
  <dc:creator>ECT</dc:creator>
  <dc:description/>
  <dc:language>en-CA</dc:language>
  <cp:lastModifiedBy>jhunte2</cp:lastModifiedBy>
  <dcterms:modified xsi:type="dcterms:W3CDTF">2001-03-15T20:01:00Z</dcterms:modified>
  <cp:revision>3</cp:revision>
  <dc:subject>Catequil Partners, L.P.</dc:subject>
  <dc:title>QW3079.1</dc:title>
</cp:coreProperties>
</file>