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0"/>
              </w:rPr>
            </w:pPr>
            <w:r>
              <w:rPr>
                <w:b/>
                <w:sz w:val="20"/>
              </w:rPr>
              <w:fldChar w:fldCharType="begin"/>
            </w:r>
            <w:r>
              <w:rPr>
                <w:sz w:val="20"/>
                <w:b/>
              </w:rPr>
              <w:instrText xml:space="preserve"> MERGEFIELD EnronEntityName </w:instrText>
            </w:r>
            <w:r>
              <w:rPr>
                <w:sz w:val="20"/>
                <w:b/>
              </w:rPr>
              <w:fldChar w:fldCharType="separate"/>
            </w:r>
            <w:r>
              <w:rPr>
                <w:sz w:val="20"/>
                <w:b/>
              </w:rPr>
              <w:t>Enron North America Corp.</w:t>
            </w:r>
            <w:r>
              <w:rPr>
                <w:sz w:val="20"/>
                <w:b/>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EnronLogoAddr1 </w:instrText>
            </w:r>
            <w:r>
              <w:rPr>
                <w:sz w:val="20"/>
                <w:i/>
              </w:rPr>
              <w:fldChar w:fldCharType="separate"/>
            </w:r>
            <w:r>
              <w:rPr>
                <w:sz w:val="20"/>
                <w:i/>
              </w:rPr>
              <w:t>P.O. Box 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EnronLogoAddr2 </w:instrText>
            </w:r>
            <w:r>
              <w:rPr>
                <w:sz w:val="20"/>
                <w:i/>
              </w:rPr>
              <w:fldChar w:fldCharType="separate"/>
            </w:r>
            <w:r>
              <w:rPr>
                <w:sz w:val="20"/>
                <w:i/>
              </w:rPr>
              <w:t>Houston TX 77210-4428</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EnronLogoAddr3 </w:instrText>
            </w:r>
            <w:r>
              <w:rPr>
                <w:sz w:val="20"/>
                <w:i/>
              </w:rPr>
              <w:fldChar w:fldCharType="separate"/>
            </w:r>
            <w:r>
              <w:rPr>
                <w:sz w:val="20"/>
                <w:i/>
              </w:rPr>
              <w:t>(713) 853-3300</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EnronLogoTelephone </w:instrText>
            </w:r>
            <w:r>
              <w:rPr>
                <w:sz w:val="20"/>
                <w:i/>
              </w:rPr>
              <w:fldChar w:fldCharType="separate"/>
            </w:r>
            <w:r>
              <w:rPr>
                <w:sz w:val="20"/>
                <w:i/>
              </w:rPr>
              <w:t>Fax (713) 646-4816</w:t>
            </w:r>
            <w:r>
              <w:rPr>
                <w:sz w:val="20"/>
                <w:i/>
              </w:rPr>
              <w:fldChar w:fldCharType="end"/>
            </w:r>
          </w:p>
          <w:p>
            <w:pPr>
              <w:pStyle w:val="Normal"/>
              <w:tabs>
                <w:tab w:val="clear" w:pos="720"/>
                <w:tab w:val="left" w:pos="2412" w:leader="none"/>
              </w:tabs>
              <w:ind w:start="1962" w:end="0"/>
              <w:rPr>
                <w:i/>
                <w:i/>
                <w:sz w:val="20"/>
              </w:rPr>
            </w:pPr>
            <w:r>
              <w:rPr>
                <w:i/>
                <w:sz w:val="20"/>
              </w:rPr>
              <w:fldChar w:fldCharType="begin"/>
            </w:r>
            <w:r>
              <w:rPr>
                <w:sz w:val="20"/>
                <w:i/>
              </w:rPr>
              <w:instrText xml:space="preserve"> MERGEFIELD EnronLogoFax </w:instrText>
            </w:r>
            <w:r>
              <w:rPr>
                <w:sz w:val="20"/>
                <w:i/>
              </w:rPr>
              <w:fldChar w:fldCharType="separate"/>
            </w:r>
            <w:r>
              <w:rPr>
                <w:sz w:val="20"/>
                <w:i/>
              </w:rPr>
              <w:t xml:space="preserve"> </w:t>
            </w:r>
            <w:r>
              <w:rPr>
                <w:sz w:val="20"/>
                <w:i/>
              </w:rPr>
              <w:fldChar w:fldCharType="end"/>
            </w:r>
          </w:p>
        </w:tc>
      </w:tr>
    </w:tbl>
    <w:p>
      <w:pPr>
        <w:pStyle w:val="Normal"/>
        <w:rPr>
          <w:sz w:val="20"/>
        </w:rPr>
      </w:pPr>
      <w:r>
        <w:rPr>
          <w:sz w:val="20"/>
        </w:rPr>
      </w:r>
    </w:p>
    <w:p>
      <w:pPr>
        <w:pStyle w:val="Normal"/>
        <w:numPr>
          <w:ilvl w:val="0"/>
          <w:numId w:val="0"/>
        </w:numPr>
        <w:jc w:val="center"/>
        <w:outlineLvl w:val="0"/>
        <w:rPr>
          <w:b/>
          <w:sz w:val="20"/>
        </w:rPr>
      </w:pPr>
      <w:r>
        <w:rPr>
          <w:b/>
          <w:sz w:val="20"/>
        </w:rPr>
        <w:t xml:space="preserve"> </w:t>
      </w:r>
      <w:r>
        <w:rPr>
          <w:b/>
          <w:sz w:val="20"/>
        </w:rPr>
        <w:t xml:space="preserve">CONFIRMATION </w:t>
      </w:r>
    </w:p>
    <w:p>
      <w:pPr>
        <w:pStyle w:val="Normal"/>
        <w:numPr>
          <w:ilvl w:val="0"/>
          <w:numId w:val="0"/>
        </w:numPr>
        <w:jc w:val="center"/>
        <w:outlineLvl w:val="0"/>
        <w:rPr>
          <w:b/>
          <w:sz w:val="20"/>
        </w:rPr>
      </w:pPr>
      <w:r>
        <w:rPr>
          <w:b/>
          <w:sz w:val="20"/>
        </w:rPr>
        <w:t>(SWAP)</w:t>
      </w:r>
    </w:p>
    <w:p>
      <w:pPr>
        <w:pStyle w:val="Normal"/>
        <w:rPr>
          <w:b/>
          <w:sz w:val="20"/>
        </w:rPr>
      </w:pPr>
      <w:r>
        <w:rPr>
          <w:b/>
          <w:sz w:val="20"/>
        </w:rPr>
      </w:r>
    </w:p>
    <w:p>
      <w:pPr>
        <w:pStyle w:val="Normal"/>
        <w:rPr>
          <w:sz w:val="20"/>
        </w:rPr>
      </w:pPr>
      <w:r>
        <w:rPr>
          <w:sz w:val="20"/>
        </w:rPr>
        <w:t>Date:</w:t>
        <w:tab/>
        <w:tab/>
        <w:tab/>
        <w:tab/>
      </w:r>
      <w:r>
        <w:rPr>
          <w:sz w:val="20"/>
        </w:rPr>
        <w:fldChar w:fldCharType="begin"/>
      </w:r>
      <w:r>
        <w:rPr>
          <w:sz w:val="20"/>
        </w:rPr>
        <w:instrText xml:space="preserve"> MERGEFIELD DealDate </w:instrText>
      </w:r>
      <w:r>
        <w:rPr>
          <w:sz w:val="20"/>
        </w:rPr>
        <w:fldChar w:fldCharType="separate"/>
      </w:r>
      <w:r>
        <w:rPr>
          <w:sz w:val="20"/>
        </w:rPr>
        <w:t>March 06, 2001</w:t>
      </w:r>
      <w:r>
        <w:rPr>
          <w:sz w:val="20"/>
        </w:rPr>
        <w:fldChar w:fldCharType="end"/>
      </w:r>
    </w:p>
    <w:p>
      <w:pPr>
        <w:pStyle w:val="Normal"/>
        <w:rPr/>
      </w:pPr>
      <w:r>
        <w:rPr>
          <w:sz w:val="20"/>
        </w:rPr>
        <w:t>To:</w:t>
        <w:tab/>
        <w:tab/>
        <w:tab/>
        <w:tab/>
      </w:r>
      <w:r>
        <w:rPr>
          <w:sz w:val="20"/>
        </w:rPr>
        <w:fldChar w:fldCharType="begin"/>
      </w:r>
      <w:r>
        <w:rPr>
          <w:sz w:val="20"/>
        </w:rPr>
        <w:instrText xml:space="preserve"> MERGEFIELD CounterpartyName </w:instrText>
      </w:r>
      <w:r>
        <w:rPr>
          <w:sz w:val="20"/>
        </w:rPr>
        <w:fldChar w:fldCharType="separate"/>
      </w:r>
      <w:r>
        <w:rPr>
          <w:sz w:val="20"/>
        </w:rPr>
        <w:t>Catequil Partners, L.P.</w:t>
      </w:r>
      <w:r>
        <w:rPr>
          <w:sz w:val="20"/>
        </w:rPr>
        <w:fldChar w:fldCharType="end"/>
      </w:r>
      <w:r>
        <w:rPr>
          <w:sz w:val="20"/>
        </w:rPr>
        <w:t xml:space="preserve"> (“Counterparty”)</w:t>
      </w:r>
    </w:p>
    <w:p>
      <w:pPr>
        <w:pStyle w:val="Normal"/>
        <w:rPr>
          <w:sz w:val="20"/>
        </w:rPr>
      </w:pPr>
      <w:r>
        <w:rPr>
          <w:sz w:val="20"/>
        </w:rPr>
        <w:t>Attention:</w:t>
        <w:tab/>
        <w:tab/>
        <w:tab/>
      </w:r>
      <w:r>
        <w:rPr>
          <w:sz w:val="20"/>
        </w:rPr>
        <w:fldChar w:fldCharType="begin"/>
      </w:r>
      <w:r>
        <w:rPr>
          <w:sz w:val="20"/>
        </w:rPr>
        <w:instrText xml:space="preserve"> MERGEFIELD CounterpartyContact </w:instrText>
      </w:r>
      <w:r>
        <w:rPr>
          <w:sz w:val="20"/>
        </w:rPr>
        <w:fldChar w:fldCharType="separate"/>
      </w:r>
      <w:r>
        <w:rPr>
          <w:sz w:val="20"/>
        </w:rPr>
        <w:t>Document Department</w:t>
      </w:r>
      <w:r>
        <w:rPr>
          <w:sz w:val="20"/>
        </w:rPr>
        <w:fldChar w:fldCharType="end"/>
      </w:r>
    </w:p>
    <w:p>
      <w:pPr>
        <w:pStyle w:val="Normal"/>
        <w:rPr>
          <w:sz w:val="20"/>
        </w:rPr>
      </w:pPr>
      <w:r>
        <w:rPr>
          <w:sz w:val="20"/>
        </w:rPr>
        <w:t>Fax No.:</w:t>
        <w:tab/>
        <w:tab/>
        <w:tab/>
        <w:tab/>
        <w:t>732-563-0919</w:t>
      </w:r>
    </w:p>
    <w:p>
      <w:pPr>
        <w:pStyle w:val="Normal"/>
        <w:numPr>
          <w:ilvl w:val="0"/>
          <w:numId w:val="0"/>
        </w:numPr>
        <w:outlineLvl w:val="0"/>
        <w:rPr/>
      </w:pPr>
      <w:r>
        <w:rPr>
          <w:sz w:val="20"/>
        </w:rPr>
        <w:t>From:</w:t>
        <w:tab/>
        <w:tab/>
        <w:tab/>
        <w:tab/>
      </w:r>
      <w:r>
        <w:rPr>
          <w:sz w:val="20"/>
        </w:rPr>
        <w:fldChar w:fldCharType="begin"/>
      </w:r>
      <w:r>
        <w:rPr>
          <w:sz w:val="20"/>
        </w:rPr>
        <w:instrText xml:space="preserve"> MERGEFIELD EnronEntityNameCode </w:instrText>
      </w:r>
      <w:r>
        <w:rPr>
          <w:sz w:val="20"/>
        </w:rPr>
        <w:fldChar w:fldCharType="separate"/>
      </w:r>
      <w:r>
        <w:rPr>
          <w:sz w:val="20"/>
        </w:rPr>
        <w:t>Enron North America Corp.</w:t>
      </w:r>
      <w:r>
        <w:rPr>
          <w:sz w:val="20"/>
        </w:rPr>
        <w:fldChar w:fldCharType="end"/>
      </w:r>
      <w:r>
        <w:rPr>
          <w:sz w:val="20"/>
        </w:rPr>
        <w:t xml:space="preserve"> (“ENA”)</w:t>
      </w:r>
    </w:p>
    <w:p>
      <w:pPr>
        <w:pStyle w:val="Normal"/>
        <w:rPr>
          <w:sz w:val="20"/>
        </w:rPr>
      </w:pPr>
      <w:r>
        <w:rPr>
          <w:sz w:val="20"/>
        </w:rPr>
        <w:t>Re:</w:t>
        <w:tab/>
        <w:tab/>
        <w:tab/>
        <w:tab/>
        <w:t xml:space="preserve">Commodity Swap </w:t>
      </w:r>
      <w:r>
        <w:rPr>
          <w:sz w:val="20"/>
        </w:rPr>
        <w:fldChar w:fldCharType="begin"/>
      </w:r>
      <w:r>
        <w:rPr>
          <w:sz w:val="20"/>
        </w:rPr>
        <w:instrText xml:space="preserve"> MERGEFIELD DealNumber </w:instrText>
      </w:r>
      <w:r>
        <w:rPr>
          <w:sz w:val="20"/>
        </w:rPr>
        <w:fldChar w:fldCharType="separate"/>
      </w:r>
      <w:r>
        <w:rPr>
          <w:sz w:val="20"/>
        </w:rPr>
        <w:t>QV4865.2</w:t>
      </w:r>
      <w:r>
        <w:rPr>
          <w:sz w:val="20"/>
        </w:rPr>
        <w:fldChar w:fldCharType="end"/>
      </w:r>
    </w:p>
    <w:p>
      <w:pPr>
        <w:pStyle w:val="Normal"/>
        <w:rPr>
          <w:sz w:val="20"/>
        </w:rPr>
      </w:pPr>
      <w:r>
        <w:rPr>
          <w:sz w:val="20"/>
        </w:rPr>
      </w:r>
    </w:p>
    <w:p>
      <w:pPr>
        <w:pStyle w:val="Normal"/>
        <w:rPr>
          <w:sz w:val="20"/>
        </w:rPr>
      </w:pPr>
      <w:r>
        <w:rPr>
          <w:sz w:val="20"/>
        </w:rPr>
        <w:t>Dear Sirs:</w:t>
      </w:r>
    </w:p>
    <w:p>
      <w:pPr>
        <w:pStyle w:val="Normal"/>
        <w:rPr>
          <w:sz w:val="20"/>
        </w:rPr>
      </w:pPr>
      <w:r>
        <w:rPr>
          <w:sz w:val="20"/>
        </w:rPr>
      </w:r>
    </w:p>
    <w:p>
      <w:pPr>
        <w:pStyle w:val="BodyText"/>
        <w:rPr/>
      </w:pPr>
      <w:r>
        <w:rPr/>
        <w:t>The purpose of this document is to confirm the terms and conditions of the transaction entered into between Catequil Partners, L.P. (“Counterparty”) and Enron North America Corp. (“ENA”) on March 6,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the parties.</w:t>
      </w:r>
    </w:p>
    <w:p>
      <w:pPr>
        <w:pStyle w:val="Normal"/>
        <w:jc w:val="both"/>
        <w:rPr>
          <w:sz w:val="20"/>
        </w:rPr>
      </w:pPr>
      <w:r>
        <w:rPr>
          <w:sz w:val="20"/>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sz w:val="20"/>
        </w:rPr>
      </w:pPr>
      <w:r>
        <w:rPr>
          <w:color w:val="FF0000"/>
          <w:sz w:val="20"/>
        </w:rPr>
      </w:r>
    </w:p>
    <w:p>
      <w:pPr>
        <w:pStyle w:val="Normal"/>
        <w:jc w:val="both"/>
        <w:rPr/>
      </w:pPr>
      <w:r>
        <w:rPr>
          <w:sz w:val="20"/>
        </w:rPr>
        <w:t>2.</w:t>
        <w:tab/>
      </w:r>
      <w:r>
        <w:rPr>
          <w:b/>
          <w:sz w:val="20"/>
          <w:u w:val="single"/>
        </w:rPr>
        <w:t>Terms of Transaction</w:t>
      </w:r>
      <w:r>
        <w:rPr>
          <w:b/>
          <w:sz w:val="20"/>
        </w:rPr>
        <w:t xml:space="preserve">.  </w:t>
      </w:r>
      <w:r>
        <w:rPr>
          <w:sz w:val="20"/>
        </w:rPr>
        <w:t>The terms of the particular Transaction to which this Confirmation relates are as follows:</w:t>
      </w:r>
    </w:p>
    <w:p>
      <w:pPr>
        <w:pStyle w:val="Normal"/>
        <w:rPr>
          <w:b/>
          <w:sz w:val="20"/>
        </w:rPr>
      </w:pPr>
      <w:r>
        <w:rPr>
          <w:b/>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Notional Quantity per</w:t>
            </w:r>
          </w:p>
          <w:p>
            <w:pPr>
              <w:pStyle w:val="Normal"/>
              <w:ind w:start="720" w:end="0"/>
              <w:rPr>
                <w:sz w:val="20"/>
              </w:rPr>
            </w:pPr>
            <w:r>
              <w:rPr>
                <w:sz w:val="20"/>
              </w:rPr>
              <w:t>Calculation Period:</w:t>
            </w:r>
          </w:p>
        </w:tc>
        <w:tc>
          <w:tcPr>
            <w:tcW w:w="6102" w:type="dxa"/>
            <w:tcBorders/>
          </w:tcPr>
          <w:p>
            <w:pPr>
              <w:pStyle w:val="Normal"/>
              <w:snapToGrid w:val="false"/>
              <w:jc w:val="both"/>
              <w:rPr>
                <w:sz w:val="20"/>
              </w:rPr>
            </w:pPr>
            <w:r>
              <w:rPr>
                <w:sz w:val="20"/>
              </w:rPr>
            </w:r>
          </w:p>
          <w:p>
            <w:pPr>
              <w:pStyle w:val="Normal"/>
              <w:jc w:val="both"/>
              <w:rPr>
                <w:sz w:val="20"/>
              </w:rPr>
            </w:pPr>
            <w:r>
              <w:rPr>
                <w:sz w:val="20"/>
              </w:rPr>
              <w:fldChar w:fldCharType="begin"/>
            </w:r>
            <w:r>
              <w:rPr>
                <w:sz w:val="20"/>
              </w:rPr>
              <w:instrText xml:space="preserve"> MERGEFIELD QtyPerPeriod </w:instrText>
            </w:r>
            <w:r>
              <w:rPr>
                <w:sz w:val="20"/>
              </w:rPr>
              <w:fldChar w:fldCharType="separate"/>
            </w:r>
            <w:r>
              <w:rPr>
                <w:sz w:val="20"/>
              </w:rPr>
              <w:t>See Attachment</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w:t>
              <w:tab/>
            </w:r>
          </w:p>
        </w:tc>
        <w:tc>
          <w:tcPr>
            <w:tcW w:w="6102" w:type="dxa"/>
            <w:tcBorders/>
          </w:tcPr>
          <w:p>
            <w:pPr>
              <w:pStyle w:val="Normal"/>
              <w:jc w:val="both"/>
              <w:rPr>
                <w:sz w:val="20"/>
              </w:rPr>
            </w:pPr>
            <w:r>
              <w:rPr>
                <w:sz w:val="20"/>
              </w:rPr>
              <w:fldChar w:fldCharType="begin"/>
            </w:r>
            <w:r>
              <w:rPr>
                <w:sz w:val="20"/>
              </w:rPr>
              <w:instrText xml:space="preserve"> MERGEFIELD CommodityName </w:instrText>
            </w:r>
            <w:r>
              <w:rPr>
                <w:sz w:val="20"/>
              </w:rPr>
              <w:fldChar w:fldCharType="separate"/>
            </w:r>
            <w:r>
              <w:rPr>
                <w:sz w:val="20"/>
              </w:rPr>
              <w:t>Natural Gas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Commodity Unit:</w:t>
            </w:r>
          </w:p>
        </w:tc>
        <w:tc>
          <w:tcPr>
            <w:tcW w:w="6102" w:type="dxa"/>
            <w:tcBorders/>
          </w:tcPr>
          <w:p>
            <w:pPr>
              <w:pStyle w:val="Normal"/>
              <w:jc w:val="both"/>
              <w:rPr>
                <w:sz w:val="20"/>
              </w:rPr>
            </w:pPr>
            <w:r>
              <w:rPr>
                <w:sz w:val="20"/>
              </w:rPr>
              <w:fldChar w:fldCharType="begin"/>
            </w:r>
            <w:r>
              <w:rPr>
                <w:sz w:val="20"/>
              </w:rPr>
              <w:instrText xml:space="preserve"> MERGEFIELD UnitOfMeasure </w:instrText>
            </w:r>
            <w:r>
              <w:rPr>
                <w:sz w:val="20"/>
              </w:rPr>
              <w:fldChar w:fldCharType="separate"/>
            </w:r>
            <w:r>
              <w:rPr>
                <w:sz w:val="20"/>
              </w:rPr>
              <w:t>MMBtu (One Million British Thermal Units)</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Trade Date:</w:t>
            </w:r>
          </w:p>
        </w:tc>
        <w:tc>
          <w:tcPr>
            <w:tcW w:w="6102" w:type="dxa"/>
            <w:tcBorders/>
          </w:tcPr>
          <w:p>
            <w:pPr>
              <w:pStyle w:val="Normal"/>
              <w:jc w:val="both"/>
              <w:rPr>
                <w:sz w:val="20"/>
              </w:rPr>
            </w:pPr>
            <w:r>
              <w:rPr>
                <w:sz w:val="20"/>
              </w:rPr>
              <w:fldChar w:fldCharType="begin"/>
            </w:r>
            <w:r>
              <w:rPr>
                <w:sz w:val="20"/>
              </w:rPr>
              <w:instrText xml:space="preserve"> MERGEFIELD DealDate </w:instrText>
            </w:r>
            <w:r>
              <w:rPr>
                <w:sz w:val="20"/>
              </w:rPr>
              <w:fldChar w:fldCharType="separate"/>
            </w:r>
            <w:r>
              <w:rPr>
                <w:sz w:val="20"/>
              </w:rPr>
              <w:t>March 06,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Effective Date:</w:t>
              <w:tab/>
            </w:r>
          </w:p>
        </w:tc>
        <w:tc>
          <w:tcPr>
            <w:tcW w:w="6102" w:type="dxa"/>
            <w:tcBorders/>
          </w:tcPr>
          <w:p>
            <w:pPr>
              <w:pStyle w:val="Normal"/>
              <w:jc w:val="both"/>
              <w:rPr>
                <w:sz w:val="20"/>
              </w:rPr>
            </w:pPr>
            <w:r>
              <w:rPr>
                <w:sz w:val="20"/>
              </w:rPr>
              <w:fldChar w:fldCharType="begin"/>
            </w:r>
            <w:r>
              <w:rPr>
                <w:sz w:val="20"/>
              </w:rPr>
              <w:instrText xml:space="preserve"> MERGEFIELD TransStartDate </w:instrText>
            </w:r>
            <w:r>
              <w:rPr>
                <w:sz w:val="20"/>
              </w:rPr>
              <w:fldChar w:fldCharType="separate"/>
            </w:r>
            <w:r>
              <w:rPr>
                <w:sz w:val="20"/>
              </w:rPr>
              <w:t>November 01, 2001</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Termination Date:</w:t>
            </w:r>
          </w:p>
        </w:tc>
        <w:tc>
          <w:tcPr>
            <w:tcW w:w="6102" w:type="dxa"/>
            <w:tcBorders/>
          </w:tcPr>
          <w:p>
            <w:pPr>
              <w:pStyle w:val="Normal"/>
              <w:jc w:val="both"/>
              <w:rPr>
                <w:sz w:val="20"/>
              </w:rPr>
            </w:pPr>
            <w:r>
              <w:rPr>
                <w:sz w:val="20"/>
              </w:rPr>
              <w:fldChar w:fldCharType="begin"/>
            </w:r>
            <w:r>
              <w:rPr>
                <w:sz w:val="20"/>
              </w:rPr>
              <w:instrText xml:space="preserve"> MERGEFIELD TransStopDate </w:instrText>
            </w:r>
            <w:r>
              <w:rPr>
                <w:sz w:val="20"/>
              </w:rPr>
              <w:fldChar w:fldCharType="separate"/>
            </w:r>
            <w:r>
              <w:rPr>
                <w:sz w:val="20"/>
              </w:rPr>
              <w:t>March 31, 2002</w:t>
            </w:r>
            <w:r>
              <w:rPr>
                <w:sz w:val="20"/>
              </w:rPr>
              <w:fldChar w:fldCharType="end"/>
            </w:r>
          </w:p>
        </w:tc>
      </w:tr>
      <w:tr>
        <w:trPr/>
        <w:tc>
          <w:tcPr>
            <w:tcW w:w="4338" w:type="dxa"/>
            <w:tcBorders/>
          </w:tcPr>
          <w:p>
            <w:pPr>
              <w:pStyle w:val="Normal"/>
              <w:snapToGrid w:val="false"/>
              <w:ind w:start="720" w:end="0"/>
              <w:rPr>
                <w:sz w:val="20"/>
              </w:rPr>
            </w:pPr>
            <w:r>
              <w:rPr>
                <w:sz w:val="20"/>
              </w:rPr>
            </w:r>
          </w:p>
        </w:tc>
        <w:tc>
          <w:tcPr>
            <w:tcW w:w="6102" w:type="dxa"/>
            <w:tcBorders/>
          </w:tcPr>
          <w:p>
            <w:pPr>
              <w:pStyle w:val="Normal"/>
              <w:snapToGrid w:val="false"/>
              <w:jc w:val="both"/>
              <w:rPr>
                <w:sz w:val="20"/>
              </w:rPr>
            </w:pPr>
            <w:r>
              <w:rPr>
                <w:sz w:val="20"/>
              </w:rPr>
            </w:r>
          </w:p>
        </w:tc>
      </w:tr>
      <w:tr>
        <w:trPr/>
        <w:tc>
          <w:tcPr>
            <w:tcW w:w="4338" w:type="dxa"/>
            <w:tcBorders/>
          </w:tcPr>
          <w:p>
            <w:pPr>
              <w:pStyle w:val="Normal"/>
              <w:ind w:start="720" w:end="0"/>
              <w:rPr>
                <w:sz w:val="20"/>
              </w:rPr>
            </w:pPr>
            <w:r>
              <w:rPr>
                <w:sz w:val="20"/>
              </w:rPr>
              <w:t>Calculation Period(s):</w:t>
            </w:r>
          </w:p>
        </w:tc>
        <w:tc>
          <w:tcPr>
            <w:tcW w:w="6102" w:type="dxa"/>
            <w:tcBorders/>
          </w:tcPr>
          <w:p>
            <w:pPr>
              <w:pStyle w:val="Normal"/>
              <w:jc w:val="both"/>
              <w:rPr>
                <w:sz w:val="20"/>
              </w:rPr>
            </w:pPr>
            <w:r>
              <w:rPr>
                <w:sz w:val="20"/>
              </w:rPr>
              <w:fldChar w:fldCharType="begin"/>
            </w:r>
            <w:r>
              <w:rPr>
                <w:sz w:val="20"/>
              </w:rPr>
              <w:instrText xml:space="preserve"> MERGEFIELD DeterminationPeriod </w:instrText>
            </w:r>
            <w:r>
              <w:rPr>
                <w:sz w:val="20"/>
              </w:rPr>
              <w:fldChar w:fldCharType="separate"/>
            </w:r>
            <w:r>
              <w:rPr>
                <w:sz w:val="20"/>
              </w:rPr>
              <w:t>Each calendar month beginning with November 01, 2001 and ending on March 31, 2002.</w:t>
            </w:r>
            <w:r>
              <w:rPr>
                <w:sz w:val="20"/>
              </w:rPr>
              <w:fldChar w:fldCharType="end"/>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Payment Date(s):</w:t>
            </w:r>
          </w:p>
        </w:tc>
        <w:tc>
          <w:tcPr>
            <w:tcW w:w="6102" w:type="dxa"/>
            <w:tcBorders/>
          </w:tcPr>
          <w:p>
            <w:pPr>
              <w:pStyle w:val="Normal"/>
              <w:jc w:val="both"/>
              <w:rPr>
                <w:sz w:val="20"/>
              </w:rPr>
            </w:pPr>
            <w:r>
              <w:rPr>
                <w:sz w:val="20"/>
              </w:rPr>
              <w:fldChar w:fldCharType="begin"/>
            </w:r>
            <w:r>
              <w:rPr>
                <w:sz w:val="20"/>
              </w:rPr>
              <w:instrText xml:space="preserve"> MERGEFIELD PaymentDates </w:instrText>
            </w:r>
            <w:r>
              <w:rPr>
                <w:sz w:val="20"/>
              </w:rPr>
              <w:fldChar w:fldCharType="separate"/>
            </w:r>
            <w:r>
              <w:rPr>
                <w:sz w:val="20"/>
              </w:rPr>
              <w:t>The fifth (5th) Business Day following the date on which the Floating Price is determinable</w:t>
            </w:r>
            <w:r>
              <w:rPr>
                <w:sz w:val="20"/>
              </w:rPr>
              <w:fldChar w:fldCharType="end"/>
            </w:r>
          </w:p>
        </w:tc>
      </w:tr>
    </w:tbl>
    <w:p>
      <w:pPr>
        <w:pStyle w:val="Normal"/>
        <w:rPr>
          <w:sz w:val="20"/>
        </w:rPr>
      </w:pPr>
      <w:r>
        <w:rPr>
          <w:sz w:val="20"/>
        </w:rPr>
      </w:r>
    </w:p>
    <w:p>
      <w:pPr>
        <w:pStyle w:val="Normal"/>
        <w:numPr>
          <w:ilvl w:val="0"/>
          <w:numId w:val="0"/>
        </w:numPr>
        <w:outlineLvl w:val="0"/>
        <w:rPr>
          <w:b/>
          <w:sz w:val="20"/>
        </w:rPr>
      </w:pPr>
      <w:r>
        <w:rPr>
          <w:b/>
          <w:sz w:val="20"/>
        </w:rPr>
        <w:t>Fixed Amount Details:</w:t>
      </w:r>
    </w:p>
    <w:p>
      <w:pPr>
        <w:pStyle w:val="Normal"/>
        <w:rPr>
          <w:b/>
          <w:sz w:val="20"/>
        </w:rPr>
      </w:pPr>
      <w:r>
        <w:rPr>
          <w:b/>
          <w:sz w:val="20"/>
        </w:rPr>
      </w:r>
    </w:p>
    <w:p>
      <w:pPr>
        <w:pStyle w:val="Normal"/>
        <w:numPr>
          <w:ilvl w:val="0"/>
          <w:numId w:val="0"/>
        </w:numPr>
        <w:jc w:val="both"/>
        <w:outlineLvl w:val="0"/>
        <w:rPr>
          <w:sz w:val="20"/>
        </w:rPr>
      </w:pPr>
      <w:r>
        <w:rPr>
          <w:sz w:val="20"/>
        </w:rPr>
        <w:tab/>
        <w:t>Fixed Price Payor:</w:t>
        <w:tab/>
        <w:tab/>
        <w:tab/>
      </w:r>
      <w:r>
        <w:rPr>
          <w:sz w:val="20"/>
        </w:rPr>
        <w:fldChar w:fldCharType="begin"/>
      </w:r>
      <w:r>
        <w:rPr>
          <w:sz w:val="20"/>
        </w:rPr>
        <w:instrText xml:space="preserve"> MERGEFIELD FixedPayerWCP </w:instrText>
      </w:r>
      <w:r>
        <w:rPr>
          <w:sz w:val="20"/>
        </w:rPr>
        <w:fldChar w:fldCharType="separate"/>
      </w:r>
      <w:r>
        <w:rPr>
          <w:sz w:val="20"/>
        </w:rPr>
        <w:t>Counterparty</w:t>
      </w:r>
      <w:r>
        <w:rPr>
          <w:sz w:val="20"/>
        </w:rPr>
        <w:fldChar w:fldCharType="end"/>
      </w:r>
    </w:p>
    <w:p>
      <w:pPr>
        <w:pStyle w:val="Normal"/>
        <w:rPr>
          <w:sz w:val="20"/>
        </w:rPr>
      </w:pPr>
      <w:r>
        <w:rPr>
          <w:sz w:val="20"/>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Fixed Price:</w:t>
            </w:r>
          </w:p>
        </w:tc>
        <w:tc>
          <w:tcPr>
            <w:tcW w:w="6102" w:type="dxa"/>
            <w:tcBorders/>
          </w:tcPr>
          <w:p>
            <w:pPr>
              <w:pStyle w:val="Normal"/>
              <w:jc w:val="both"/>
              <w:rPr>
                <w:sz w:val="20"/>
              </w:rPr>
            </w:pPr>
            <w:r>
              <w:rPr>
                <w:sz w:val="20"/>
              </w:rPr>
              <w:fldChar w:fldCharType="begin"/>
            </w:r>
            <w:r>
              <w:rPr>
                <w:sz w:val="20"/>
              </w:rPr>
              <w:instrText xml:space="preserve"> MERGEFIELD FixedPrice </w:instrText>
            </w:r>
            <w:r>
              <w:rPr>
                <w:sz w:val="20"/>
              </w:rPr>
              <w:fldChar w:fldCharType="separate"/>
            </w:r>
            <w:r>
              <w:rPr>
                <w:sz w:val="20"/>
              </w:rPr>
              <w:t>The settlement price for the last scheduled Trading Day of the NYMEX Henry Hub Natural Gas Futures Contract for the applicable Calculation Period plus US Dollars $0.24500 per MMBtu</w:t>
            </w:r>
            <w:r>
              <w:rPr>
                <w:sz w:val="20"/>
              </w:rPr>
              <w:fldChar w:fldCharType="end"/>
            </w:r>
          </w:p>
        </w:tc>
      </w:tr>
    </w:tbl>
    <w:p>
      <w:pPr>
        <w:pStyle w:val="Normal"/>
        <w:rPr>
          <w:sz w:val="20"/>
        </w:rPr>
      </w:pPr>
      <w:r>
        <w:rPr>
          <w:sz w:val="20"/>
        </w:rPr>
        <w:tab/>
      </w:r>
    </w:p>
    <w:p>
      <w:pPr>
        <w:pStyle w:val="Normal"/>
        <w:numPr>
          <w:ilvl w:val="0"/>
          <w:numId w:val="0"/>
        </w:numPr>
        <w:outlineLvl w:val="0"/>
        <w:rPr>
          <w:b/>
          <w:sz w:val="20"/>
        </w:rPr>
      </w:pPr>
      <w:r>
        <w:rPr>
          <w:b/>
          <w:sz w:val="20"/>
        </w:rPr>
        <w:t>Floating Amount Details:</w:t>
      </w:r>
    </w:p>
    <w:p>
      <w:pPr>
        <w:pStyle w:val="Normal"/>
        <w:rPr>
          <w:b/>
          <w:sz w:val="20"/>
        </w:rPr>
      </w:pPr>
      <w:r>
        <w:rPr>
          <w:b/>
          <w:sz w:val="20"/>
        </w:rPr>
      </w:r>
    </w:p>
    <w:p>
      <w:pPr>
        <w:pStyle w:val="Normal"/>
        <w:numPr>
          <w:ilvl w:val="0"/>
          <w:numId w:val="0"/>
        </w:numPr>
        <w:jc w:val="both"/>
        <w:outlineLvl w:val="0"/>
        <w:rPr>
          <w:sz w:val="20"/>
        </w:rPr>
      </w:pPr>
      <w:r>
        <w:rPr>
          <w:sz w:val="20"/>
        </w:rPr>
        <w:tab/>
        <w:t>Floating Price Payor:</w:t>
        <w:tab/>
        <w:tab/>
        <w:tab/>
      </w:r>
      <w:r>
        <w:rPr>
          <w:sz w:val="20"/>
        </w:rPr>
        <w:fldChar w:fldCharType="begin"/>
      </w:r>
      <w:r>
        <w:rPr>
          <w:sz w:val="20"/>
        </w:rPr>
        <w:instrText xml:space="preserve"> MERGEFIELD FloatPayerWCP </w:instrText>
      </w:r>
      <w:r>
        <w:rPr>
          <w:sz w:val="20"/>
        </w:rPr>
        <w:fldChar w:fldCharType="separate"/>
      </w:r>
      <w:r>
        <w:rPr>
          <w:sz w:val="20"/>
        </w:rPr>
        <w:t>ENA</w:t>
      </w:r>
      <w:r>
        <w:rPr>
          <w:sz w:val="20"/>
        </w:rPr>
        <w:fldChar w:fldCharType="end"/>
      </w:r>
    </w:p>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0"/>
              </w:rPr>
            </w:pPr>
            <w:r>
              <w:rPr>
                <w:sz w:val="20"/>
              </w:rPr>
              <w:t>Floating Price:</w:t>
            </w:r>
          </w:p>
        </w:tc>
        <w:tc>
          <w:tcPr>
            <w:tcW w:w="6102" w:type="dxa"/>
            <w:tcBorders/>
          </w:tcPr>
          <w:p>
            <w:pPr>
              <w:pStyle w:val="Normal"/>
              <w:jc w:val="both"/>
              <w:rPr>
                <w:sz w:val="20"/>
              </w:rPr>
            </w:pPr>
            <w:r>
              <w:rPr>
                <w:sz w:val="20"/>
              </w:rPr>
              <w:fldChar w:fldCharType="begin"/>
            </w:r>
            <w:r>
              <w:rPr>
                <w:sz w:val="20"/>
              </w:rPr>
              <w:instrText xml:space="preserve"> MERGEFIELD FloatPrice </w:instrText>
            </w:r>
            <w:r>
              <w:rPr>
                <w:sz w:val="20"/>
              </w:rPr>
              <w:fldChar w:fldCharType="separate"/>
            </w:r>
            <w:r>
              <w:rPr>
                <w:sz w:val="20"/>
              </w:rPr>
              <w:t>The applicable Calculation Period Bidweek Average Price in the row entitled “Chicago Citygate” located in the “Midwest” section of the table entitled “Spot Gas Prices” in the first issue of Natural Gas Intelligence Weekly Gas Price Index for the applicable Calculation Period</w:t>
            </w:r>
            <w:r>
              <w:rPr>
                <w:sz w:val="20"/>
              </w:rPr>
              <w:fldChar w:fldCharType="end"/>
            </w:r>
          </w:p>
        </w:tc>
      </w:tr>
      <w:tr>
        <w:trPr/>
        <w:tc>
          <w:tcPr>
            <w:tcW w:w="4338" w:type="dxa"/>
            <w:tcBorders/>
          </w:tcPr>
          <w:p>
            <w:pPr>
              <w:pStyle w:val="Normal"/>
              <w:rPr>
                <w:sz w:val="20"/>
              </w:rPr>
            </w:pPr>
            <w:r>
              <w:rPr>
                <w:sz w:val="20"/>
              </w:rPr>
              <w:t xml:space="preserve">           </w:t>
            </w:r>
            <w:r>
              <w:rPr>
                <w:sz w:val="20"/>
              </w:rPr>
              <w:fldChar w:fldCharType="begin"/>
            </w:r>
            <w:r>
              <w:rPr>
                <w:sz w:val="20"/>
              </w:rPr>
              <w:instrText xml:space="preserve"> MERGEFIELD AlternatePriceLit </w:instrText>
            </w:r>
            <w:r>
              <w:rPr>
                <w:sz w:val="20"/>
              </w:rPr>
              <w:fldChar w:fldCharType="separate"/>
            </w:r>
            <w:r>
              <w:rPr>
                <w:sz w:val="20"/>
              </w:rPr>
              <w:t xml:space="preserve"> </w:t>
            </w:r>
            <w:r>
              <w:rPr>
                <w:sz w:val="20"/>
              </w:rPr>
              <w:fldChar w:fldCharType="end"/>
            </w:r>
          </w:p>
        </w:tc>
        <w:tc>
          <w:tcPr>
            <w:tcW w:w="6102" w:type="dxa"/>
            <w:tcBorders/>
          </w:tcPr>
          <w:p>
            <w:pPr>
              <w:pStyle w:val="Normal"/>
              <w:jc w:val="both"/>
              <w:rPr>
                <w:sz w:val="20"/>
              </w:rPr>
            </w:pPr>
            <w:r>
              <w:rPr>
                <w:sz w:val="20"/>
              </w:rPr>
              <w:fldChar w:fldCharType="begin"/>
            </w:r>
            <w:r>
              <w:rPr>
                <w:sz w:val="20"/>
              </w:rPr>
              <w:instrText xml:space="preserve"> MERGEFIELD AlternatePrice </w:instrText>
            </w:r>
            <w:r>
              <w:rPr>
                <w:sz w:val="20"/>
              </w:rPr>
              <w:fldChar w:fldCharType="separate"/>
            </w:r>
            <w:r>
              <w:rPr>
                <w:sz w:val="20"/>
              </w:rPr>
              <w:t xml:space="preserve"> </w:t>
            </w:r>
            <w:r>
              <w:rPr>
                <w:sz w:val="20"/>
              </w:rPr>
              <w:fldChar w:fldCharType="end"/>
            </w:r>
          </w:p>
        </w:tc>
      </w:tr>
    </w:tbl>
    <w:p>
      <w:pPr>
        <w:pStyle w:val="Header"/>
        <w:tabs>
          <w:tab w:val="clear" w:pos="4320"/>
          <w:tab w:val="clear" w:pos="8640"/>
        </w:tabs>
        <w:rPr/>
      </w:pPr>
      <w:r>
        <w:rPr/>
      </w:r>
    </w:p>
    <w:p>
      <w:pPr>
        <w:pStyle w:val="Normal"/>
        <w:rPr>
          <w:sz w:val="20"/>
        </w:rPr>
      </w:pPr>
      <w:r>
        <w:rPr>
          <w:sz w:val="20"/>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sz w:val="20"/>
              </w:rPr>
            </w:pPr>
            <w:r>
              <w:rPr>
                <w:sz w:val="20"/>
              </w:rPr>
            </w:r>
          </w:p>
          <w:p>
            <w:pPr>
              <w:pStyle w:val="Normal"/>
              <w:rPr>
                <w:sz w:val="20"/>
              </w:rPr>
            </w:pPr>
            <w:r>
              <w:rPr>
                <w:sz w:val="20"/>
              </w:rPr>
              <w:t xml:space="preserve">3.            </w:t>
            </w:r>
            <w:r>
              <w:rPr>
                <w:b/>
                <w:sz w:val="20"/>
                <w:u w:val="single"/>
              </w:rPr>
              <w:t>Account Details.</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r>
        <w:trPr/>
        <w:tc>
          <w:tcPr>
            <w:tcW w:w="4428" w:type="dxa"/>
            <w:tcBorders/>
          </w:tcPr>
          <w:p>
            <w:pPr>
              <w:pStyle w:val="Normal"/>
              <w:rPr>
                <w:sz w:val="20"/>
              </w:rPr>
            </w:pPr>
            <w:r>
              <w:rPr>
                <w:sz w:val="20"/>
              </w:rPr>
              <w:tab/>
            </w:r>
            <w:r>
              <w:rPr>
                <w:sz w:val="20"/>
                <w:u w:val="single"/>
              </w:rPr>
              <w:t>Payments to ENA:</w:t>
            </w:r>
          </w:p>
        </w:tc>
        <w:tc>
          <w:tcPr>
            <w:tcW w:w="4428" w:type="dxa"/>
            <w:tcBorders/>
          </w:tcPr>
          <w:p>
            <w:pPr>
              <w:pStyle w:val="Normal"/>
              <w:snapToGrid w:val="false"/>
              <w:rPr>
                <w:sz w:val="20"/>
              </w:rPr>
            </w:pPr>
            <w:r>
              <w:rPr>
                <w:sz w:val="20"/>
              </w:rPr>
            </w:r>
          </w:p>
        </w:tc>
      </w:tr>
      <w:tr>
        <w:trPr/>
        <w:tc>
          <w:tcPr>
            <w:tcW w:w="4428" w:type="dxa"/>
            <w:tcBorders/>
          </w:tcPr>
          <w:p>
            <w:pPr>
              <w:pStyle w:val="Normal"/>
              <w:snapToGrid w:val="false"/>
              <w:rPr>
                <w:sz w:val="20"/>
              </w:rPr>
            </w:pPr>
            <w:r>
              <w:rPr>
                <w:sz w:val="20"/>
              </w:rPr>
            </w:r>
          </w:p>
        </w:tc>
        <w:tc>
          <w:tcPr>
            <w:tcW w:w="4428" w:type="dxa"/>
            <w:tcBorders/>
          </w:tcPr>
          <w:p>
            <w:pPr>
              <w:pStyle w:val="Normal"/>
              <w:snapToGrid w:val="false"/>
              <w:rPr>
                <w:sz w:val="20"/>
              </w:rPr>
            </w:pPr>
            <w:r>
              <w:rPr>
                <w:sz w:val="20"/>
              </w:rPr>
            </w:r>
          </w:p>
        </w:tc>
      </w:tr>
    </w:tbl>
    <w:p>
      <w:pPr>
        <w:pStyle w:val="Normal"/>
        <w:rPr>
          <w:sz w:val="20"/>
        </w:rPr>
      </w:pPr>
      <w:r>
        <w:rPr>
          <w:sz w:val="20"/>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sz w:val="20"/>
              </w:rPr>
            </w:pPr>
            <w:r>
              <w:rPr>
                <w:sz w:val="20"/>
              </w:rPr>
              <w:t xml:space="preserve">Pay  </w:t>
            </w:r>
          </w:p>
        </w:tc>
        <w:tc>
          <w:tcPr>
            <w:tcW w:w="5490" w:type="dxa"/>
            <w:gridSpan w:val="2"/>
            <w:tcBorders/>
          </w:tcPr>
          <w:p>
            <w:pPr>
              <w:pStyle w:val="Normal"/>
              <w:tabs>
                <w:tab w:val="clear" w:pos="720"/>
                <w:tab w:val="left" w:pos="360" w:leader="none"/>
              </w:tabs>
              <w:ind w:hanging="360" w:start="360" w:end="0"/>
              <w:rPr>
                <w:sz w:val="20"/>
              </w:rPr>
            </w:pPr>
            <w:r>
              <w:rPr>
                <w:sz w:val="20"/>
              </w:rPr>
              <w:t>:</w:t>
              <w:tab/>
              <w:t>Bank of America, N.A.</w:t>
            </w:r>
          </w:p>
        </w:tc>
      </w:tr>
      <w:tr>
        <w:trPr/>
        <w:tc>
          <w:tcPr>
            <w:tcW w:w="5490" w:type="dxa"/>
            <w:tcBorders/>
          </w:tcPr>
          <w:p>
            <w:pPr>
              <w:pStyle w:val="Normal"/>
              <w:snapToGrid w:val="false"/>
              <w:ind w:hanging="2160"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For the Account of</w:t>
            </w:r>
          </w:p>
        </w:tc>
        <w:tc>
          <w:tcPr>
            <w:tcW w:w="5490" w:type="dxa"/>
            <w:gridSpan w:val="2"/>
            <w:tcBorders/>
          </w:tcPr>
          <w:p>
            <w:pPr>
              <w:pStyle w:val="Normal"/>
              <w:tabs>
                <w:tab w:val="clear" w:pos="720"/>
                <w:tab w:val="left" w:pos="360" w:leader="none"/>
              </w:tabs>
              <w:ind w:hanging="360" w:start="360" w:end="0"/>
              <w:rPr>
                <w:sz w:val="20"/>
              </w:rPr>
            </w:pPr>
            <w:r>
              <w:rPr>
                <w:sz w:val="20"/>
              </w:rPr>
              <w:t>:</w:t>
              <w:tab/>
              <w:t>Enron North America Corp.</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Account Number/</w:t>
            </w:r>
          </w:p>
          <w:p>
            <w:pPr>
              <w:pStyle w:val="Normal"/>
              <w:ind w:start="2862" w:end="0"/>
              <w:rPr>
                <w:sz w:val="20"/>
              </w:rPr>
            </w:pPr>
            <w:r>
              <w:rPr>
                <w:sz w:val="20"/>
              </w:rPr>
              <w:t>CHIPS UID</w:t>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p>
            <w:pPr>
              <w:pStyle w:val="Normal"/>
              <w:tabs>
                <w:tab w:val="clear" w:pos="720"/>
                <w:tab w:val="left" w:pos="360" w:leader="none"/>
              </w:tabs>
              <w:ind w:hanging="360" w:start="360" w:end="0"/>
              <w:rPr>
                <w:sz w:val="20"/>
              </w:rPr>
            </w:pPr>
            <w:r>
              <w:rPr>
                <w:sz w:val="20"/>
              </w:rPr>
              <w:t>:</w:t>
              <w:tab/>
              <w:t>3750494727</w:t>
            </w:r>
          </w:p>
        </w:tc>
      </w:tr>
      <w:tr>
        <w:trPr/>
        <w:tc>
          <w:tcPr>
            <w:tcW w:w="5490" w:type="dxa"/>
            <w:tcBorders/>
          </w:tcPr>
          <w:p>
            <w:pPr>
              <w:pStyle w:val="Normal"/>
              <w:snapToGrid w:val="false"/>
              <w:ind w:start="2862" w:end="0"/>
              <w:rPr>
                <w:sz w:val="20"/>
              </w:rPr>
            </w:pPr>
            <w:r>
              <w:rPr>
                <w:sz w:val="20"/>
              </w:rPr>
            </w:r>
          </w:p>
        </w:tc>
        <w:tc>
          <w:tcPr>
            <w:tcW w:w="5490" w:type="dxa"/>
            <w:gridSpan w:val="2"/>
            <w:tcBorders/>
          </w:tcPr>
          <w:p>
            <w:pPr>
              <w:pStyle w:val="Normal"/>
              <w:tabs>
                <w:tab w:val="clear" w:pos="720"/>
                <w:tab w:val="left" w:pos="360" w:leader="none"/>
              </w:tabs>
              <w:snapToGrid w:val="false"/>
              <w:ind w:hanging="360" w:start="360" w:end="0"/>
              <w:rPr>
                <w:sz w:val="20"/>
              </w:rPr>
            </w:pPr>
            <w:r>
              <w:rPr>
                <w:sz w:val="20"/>
              </w:rPr>
            </w:r>
          </w:p>
        </w:tc>
      </w:tr>
      <w:tr>
        <w:trPr/>
        <w:tc>
          <w:tcPr>
            <w:tcW w:w="5490" w:type="dxa"/>
            <w:tcBorders/>
          </w:tcPr>
          <w:p>
            <w:pPr>
              <w:pStyle w:val="Normal"/>
              <w:ind w:start="2862" w:end="0"/>
              <w:rPr>
                <w:sz w:val="20"/>
              </w:rPr>
            </w:pPr>
            <w:r>
              <w:rPr>
                <w:sz w:val="20"/>
              </w:rPr>
              <w:t>Fed. ABA No.</w:t>
            </w:r>
          </w:p>
        </w:tc>
        <w:tc>
          <w:tcPr>
            <w:tcW w:w="5490" w:type="dxa"/>
            <w:gridSpan w:val="2"/>
            <w:tcBorders/>
          </w:tcPr>
          <w:p>
            <w:pPr>
              <w:pStyle w:val="Normal"/>
              <w:tabs>
                <w:tab w:val="clear" w:pos="720"/>
                <w:tab w:val="left" w:pos="360" w:leader="none"/>
              </w:tabs>
              <w:ind w:hanging="360" w:start="360" w:end="0"/>
              <w:rPr>
                <w:sz w:val="20"/>
              </w:rPr>
            </w:pPr>
            <w:r>
              <w:rPr>
                <w:sz w:val="20"/>
              </w:rPr>
              <w:t>:</w:t>
              <w:tab/>
              <w:t>111000012</w:t>
            </w:r>
          </w:p>
        </w:tc>
      </w:tr>
      <w:tr>
        <w:trPr/>
        <w:tc>
          <w:tcPr>
            <w:tcW w:w="5499" w:type="dxa"/>
            <w:gridSpan w:val="2"/>
            <w:tcBorders/>
          </w:tcPr>
          <w:p>
            <w:pPr>
              <w:pStyle w:val="Normal"/>
              <w:snapToGrid w:val="false"/>
              <w:ind w:firstLine="90" w:start="2862" w:end="0"/>
              <w:rPr>
                <w:sz w:val="20"/>
              </w:rPr>
            </w:pPr>
            <w:r>
              <w:rPr>
                <w:sz w:val="20"/>
              </w:rPr>
            </w:r>
          </w:p>
        </w:tc>
        <w:tc>
          <w:tcPr>
            <w:tcW w:w="5499" w:type="dxa"/>
            <w:tcBorders/>
          </w:tcPr>
          <w:p>
            <w:pPr>
              <w:pStyle w:val="Normal"/>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r>
            <w:r>
              <w:rPr>
                <w:sz w:val="20"/>
                <w:u w:val="single"/>
              </w:rPr>
              <w:t>Payments to Counterparty:</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0" w:type="dxa"/>
            <w:tcBorders/>
          </w:tcPr>
          <w:p>
            <w:pPr>
              <w:pStyle w:val="Normal"/>
              <w:keepNext w:val="true"/>
              <w:ind w:start="2862" w:end="0"/>
              <w:rPr>
                <w:sz w:val="20"/>
              </w:rPr>
            </w:pPr>
            <w:r>
              <w:rPr>
                <w:sz w:val="20"/>
              </w:rPr>
              <w:t xml:space="preserve">Pay  </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hanging="2160"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For the Account of</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Account Number/</w:t>
            </w:r>
          </w:p>
          <w:p>
            <w:pPr>
              <w:pStyle w:val="Normal"/>
              <w:keepNext w:val="true"/>
              <w:ind w:start="2862" w:end="0"/>
              <w:rPr>
                <w:sz w:val="20"/>
              </w:rPr>
            </w:pPr>
            <w:r>
              <w:rPr>
                <w:sz w:val="20"/>
              </w:rPr>
              <w:t>CHIPS UID</w:t>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p>
            <w:pPr>
              <w:pStyle w:val="Normal"/>
              <w:keepNext w:val="true"/>
              <w:tabs>
                <w:tab w:val="clear" w:pos="720"/>
                <w:tab w:val="left" w:pos="360" w:leader="none"/>
              </w:tabs>
              <w:ind w:hanging="360" w:start="360" w:end="0"/>
              <w:rPr>
                <w:sz w:val="20"/>
              </w:rPr>
            </w:pPr>
            <w:r>
              <w:rPr>
                <w:sz w:val="20"/>
              </w:rPr>
              <w:t>:</w:t>
            </w:r>
          </w:p>
        </w:tc>
      </w:tr>
      <w:tr>
        <w:trPr/>
        <w:tc>
          <w:tcPr>
            <w:tcW w:w="5490" w:type="dxa"/>
            <w:tcBorders/>
          </w:tcPr>
          <w:p>
            <w:pPr>
              <w:pStyle w:val="Normal"/>
              <w:keepNext w:val="true"/>
              <w:snapToGrid w:val="false"/>
              <w:ind w:start="2862" w:end="0"/>
              <w:rPr>
                <w:sz w:val="20"/>
              </w:rPr>
            </w:pPr>
            <w:r>
              <w:rPr>
                <w:sz w:val="20"/>
              </w:rPr>
            </w:r>
          </w:p>
        </w:tc>
        <w:tc>
          <w:tcPr>
            <w:tcW w:w="5490" w:type="dxa"/>
            <w:gridSpan w:val="2"/>
            <w:tcBorders/>
          </w:tcPr>
          <w:p>
            <w:pPr>
              <w:pStyle w:val="Normal"/>
              <w:keepNext w:val="true"/>
              <w:tabs>
                <w:tab w:val="clear" w:pos="720"/>
                <w:tab w:val="left" w:pos="360" w:leader="none"/>
              </w:tabs>
              <w:snapToGrid w:val="false"/>
              <w:ind w:hanging="360" w:start="360" w:end="0"/>
              <w:rPr>
                <w:sz w:val="20"/>
              </w:rPr>
            </w:pPr>
            <w:r>
              <w:rPr>
                <w:sz w:val="20"/>
              </w:rPr>
            </w:r>
          </w:p>
        </w:tc>
      </w:tr>
      <w:tr>
        <w:trPr/>
        <w:tc>
          <w:tcPr>
            <w:tcW w:w="5490" w:type="dxa"/>
            <w:tcBorders/>
          </w:tcPr>
          <w:p>
            <w:pPr>
              <w:pStyle w:val="Normal"/>
              <w:keepNext w:val="true"/>
              <w:ind w:start="2862" w:end="0"/>
              <w:rPr>
                <w:sz w:val="20"/>
              </w:rPr>
            </w:pPr>
            <w:r>
              <w:rPr>
                <w:sz w:val="20"/>
              </w:rPr>
              <w:t>Fed. ABA No.</w:t>
            </w:r>
          </w:p>
        </w:tc>
        <w:tc>
          <w:tcPr>
            <w:tcW w:w="5490" w:type="dxa"/>
            <w:gridSpan w:val="2"/>
            <w:tcBorders/>
          </w:tcPr>
          <w:p>
            <w:pPr>
              <w:pStyle w:val="Normal"/>
              <w:keepNext w:val="true"/>
              <w:tabs>
                <w:tab w:val="clear" w:pos="720"/>
                <w:tab w:val="left" w:pos="360" w:leader="none"/>
              </w:tabs>
              <w:ind w:hanging="360" w:start="360" w:end="0"/>
              <w:rPr>
                <w:sz w:val="20"/>
              </w:rPr>
            </w:pPr>
            <w:r>
              <w:rPr>
                <w:sz w:val="20"/>
              </w:rPr>
              <w:t>:</w:t>
            </w:r>
          </w:p>
        </w:tc>
      </w:tr>
      <w:tr>
        <w:trPr/>
        <w:tc>
          <w:tcPr>
            <w:tcW w:w="5499" w:type="dxa"/>
            <w:gridSpan w:val="2"/>
            <w:tcBorders/>
          </w:tcPr>
          <w:p>
            <w:pPr>
              <w:pStyle w:val="Normal"/>
              <w:keepNext w:val="true"/>
              <w:snapToGrid w:val="false"/>
              <w:ind w:firstLine="90" w:start="2862" w:end="0"/>
              <w:rPr>
                <w:sz w:val="20"/>
              </w:rPr>
            </w:pPr>
            <w:r>
              <w:rPr>
                <w:sz w:val="20"/>
              </w:rPr>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ind w:hanging="2160" w:start="2862" w:end="0"/>
              <w:rPr>
                <w:sz w:val="20"/>
              </w:rPr>
            </w:pPr>
            <w:r>
              <w:rPr>
                <w:sz w:val="20"/>
              </w:rPr>
              <w:tab/>
              <w:t xml:space="preserve">Attn:  </w:t>
            </w:r>
          </w:p>
        </w:tc>
        <w:tc>
          <w:tcPr>
            <w:tcW w:w="5499" w:type="dxa"/>
            <w:tcBorders/>
          </w:tcPr>
          <w:p>
            <w:pPr>
              <w:pStyle w:val="Normal"/>
              <w:keepNext w:val="true"/>
              <w:snapToGrid w:val="false"/>
              <w:rPr>
                <w:sz w:val="20"/>
              </w:rPr>
            </w:pPr>
            <w:r>
              <w:rPr>
                <w:sz w:val="20"/>
              </w:rPr>
            </w:r>
          </w:p>
        </w:tc>
      </w:tr>
      <w:tr>
        <w:trPr/>
        <w:tc>
          <w:tcPr>
            <w:tcW w:w="5499" w:type="dxa"/>
            <w:gridSpan w:val="2"/>
            <w:tcBorders/>
          </w:tcPr>
          <w:p>
            <w:pPr>
              <w:pStyle w:val="Normal"/>
              <w:keepNext w:val="true"/>
              <w:snapToGrid w:val="false"/>
              <w:ind w:hanging="2160" w:start="2862" w:end="0"/>
              <w:rPr>
                <w:sz w:val="20"/>
              </w:rPr>
            </w:pPr>
            <w:r>
              <w:rPr>
                <w:sz w:val="20"/>
              </w:rPr>
            </w:r>
          </w:p>
        </w:tc>
        <w:tc>
          <w:tcPr>
            <w:tcW w:w="5499" w:type="dxa"/>
            <w:tcBorders/>
          </w:tcPr>
          <w:p>
            <w:pPr>
              <w:pStyle w:val="Normal"/>
              <w:keepNext w:val="true"/>
              <w:snapToGrid w:val="false"/>
              <w:rPr>
                <w:sz w:val="20"/>
              </w:rPr>
            </w:pPr>
            <w:r>
              <w:rPr>
                <w:sz w:val="20"/>
              </w:rPr>
            </w:r>
          </w:p>
        </w:tc>
      </w:tr>
    </w:tbl>
    <w:p>
      <w:pPr>
        <w:pStyle w:val="Normal"/>
        <w:jc w:val="both"/>
        <w:rPr>
          <w:sz w:val="20"/>
        </w:rPr>
      </w:pPr>
      <w:r>
        <w:rPr>
          <w:sz w:val="20"/>
        </w:rPr>
      </w:r>
    </w:p>
    <w:p>
      <w:pPr>
        <w:pStyle w:val="Normal"/>
        <w:jc w:val="both"/>
        <w:rPr/>
      </w:pPr>
      <w:r>
        <w:rPr>
          <w:sz w:val="20"/>
        </w:rPr>
        <w:t>4.</w:t>
        <w:tab/>
      </w:r>
      <w:r>
        <w:rPr>
          <w:b/>
          <w:sz w:val="20"/>
          <w:u w:val="single"/>
        </w:rPr>
        <w:t>General</w:t>
      </w:r>
      <w:r>
        <w:rPr>
          <w:b/>
          <w:sz w:val="20"/>
        </w:rPr>
        <w:t>.</w:t>
      </w:r>
      <w:r>
        <w:rPr>
          <w:sz w:val="20"/>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sz w:val="20"/>
        </w:rPr>
      </w:pPr>
      <w:r>
        <w:rPr>
          <w:sz w:val="20"/>
        </w:rPr>
      </w:r>
    </w:p>
    <w:p>
      <w:pPr>
        <w:pStyle w:val="Normal"/>
        <w:jc w:val="both"/>
        <w:rPr>
          <w:sz w:val="20"/>
        </w:rPr>
      </w:pPr>
      <w:r>
        <w:rPr>
          <w:sz w:val="20"/>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sz w:val="20"/>
        </w:rPr>
      </w:pPr>
      <w:r>
        <w:rPr>
          <w:sz w:val="20"/>
        </w:rPr>
      </w:r>
    </w:p>
    <w:p>
      <w:pPr>
        <w:pStyle w:val="Normal"/>
        <w:tabs>
          <w:tab w:val="clear" w:pos="720"/>
          <w:tab w:val="left" w:pos="360" w:leader="none"/>
        </w:tabs>
        <w:jc w:val="both"/>
        <w:rPr/>
      </w:pPr>
      <w:r>
        <w:rPr>
          <w:sz w:val="20"/>
        </w:rPr>
        <w:t>5.</w:t>
      </w:r>
      <w:r>
        <w:rPr>
          <w:b/>
          <w:sz w:val="20"/>
        </w:rPr>
        <w:tab/>
        <w:tab/>
      </w:r>
      <w:r>
        <w:rPr>
          <w:b/>
          <w:sz w:val="20"/>
          <w:u w:val="single"/>
        </w:rPr>
        <w:t>Representations</w:t>
      </w:r>
      <w:r>
        <w:rPr>
          <w:b/>
          <w:sz w:val="20"/>
        </w:rPr>
        <w:t>.</w:t>
      </w:r>
      <w:r>
        <w:rPr>
          <w:sz w:val="20"/>
        </w:rPr>
        <w:t xml:space="preserve">  To induce the other to enter into the Transaction, each party represents and warrants to the other that: (a) </w:t>
      </w:r>
      <w:r>
        <w:rPr>
          <w:sz w:val="20"/>
          <w:u w:val="single"/>
        </w:rPr>
        <w:t>Authority</w:t>
      </w:r>
      <w:r>
        <w:rPr>
          <w:sz w:val="20"/>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sz w:val="20"/>
          <w:u w:val="single"/>
        </w:rPr>
        <w:t>Eligibility</w:t>
      </w:r>
      <w:r>
        <w:rPr>
          <w:sz w:val="20"/>
        </w:rPr>
        <w:t xml:space="preserve">:  (i) It constitutes an “eligible contract participant” as such term is defined in the Commodity Exchange Act, as amended 7 U.S.C. §1a(12) and (ii) it constitutes an “eligible commercial entity” as such term is defined in the Commodity Exchange Act, as amended 7 U.S.C. §1a(11) and (c) </w:t>
      </w:r>
      <w:r>
        <w:rPr>
          <w:sz w:val="20"/>
          <w:u w:val="single"/>
        </w:rPr>
        <w:t>No Reliance and No Advisory Status</w:t>
      </w:r>
      <w:r>
        <w:rPr>
          <w:sz w:val="20"/>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sz w:val="20"/>
        </w:rPr>
        <w:t xml:space="preserve"> </w:t>
      </w:r>
      <w:r>
        <w:rPr>
          <w:sz w:val="20"/>
          <w:u w:val="single"/>
        </w:rPr>
        <w:t>Tax Representations and Covenants</w:t>
      </w:r>
      <w:r>
        <w:rPr>
          <w:sz w:val="20"/>
        </w:rPr>
        <w:t xml:space="preserve">:  for purposes of Section 3(e) and 3(f) of the ISDA Agreement, each of the parties makes the representations applicable to it as set forth in Sections I(a) and (b) of </w:t>
      </w:r>
      <w:r>
        <w:rPr>
          <w:sz w:val="20"/>
          <w:u w:val="single"/>
        </w:rPr>
        <w:t>Annex A</w:t>
      </w:r>
      <w:r>
        <w:rPr>
          <w:sz w:val="20"/>
        </w:rPr>
        <w:t xml:space="preserve"> to this Confirmation as of the Trade Date and as of the date of this Confirmation and in the case of the representations given for purposes of Section 3(f) of the ISDA Agreement (which representations are set forth in Section I(b) of </w:t>
      </w:r>
      <w:r>
        <w:rPr>
          <w:sz w:val="20"/>
          <w:u w:val="single"/>
        </w:rPr>
        <w:t>Annex A</w:t>
      </w:r>
      <w:r>
        <w:rPr>
          <w:sz w:val="20"/>
        </w:rPr>
        <w:t xml:space="preserve">), at all times until termination of the Transaction.  In addition, each party covenants and agrees that it will deliver to the other party the Tax forms, documents or certificates as required pursuant to Section II(a) of </w:t>
      </w:r>
      <w:r>
        <w:rPr>
          <w:sz w:val="20"/>
          <w:u w:val="single"/>
        </w:rPr>
        <w:t>Annex A</w:t>
      </w:r>
      <w:r>
        <w:rPr>
          <w:sz w:val="20"/>
        </w:rPr>
        <w:t>.</w:t>
      </w:r>
    </w:p>
    <w:p>
      <w:pPr>
        <w:pStyle w:val="Normal"/>
        <w:jc w:val="both"/>
        <w:rPr>
          <w:sz w:val="20"/>
        </w:rPr>
      </w:pPr>
      <w:r>
        <w:rPr>
          <w:sz w:val="20"/>
        </w:rPr>
      </w:r>
    </w:p>
    <w:p>
      <w:pPr>
        <w:pStyle w:val="Normal"/>
        <w:jc w:val="both"/>
        <w:rPr/>
      </w:pPr>
      <w:r>
        <w:rPr>
          <w:sz w:val="20"/>
        </w:rPr>
        <w:t>6.</w:t>
        <w:tab/>
      </w:r>
      <w:r>
        <w:rPr>
          <w:b/>
          <w:sz w:val="20"/>
          <w:u w:val="single"/>
        </w:rPr>
        <w:t>Early Termination</w:t>
      </w:r>
      <w:r>
        <w:rPr>
          <w:b/>
          <w:sz w:val="20"/>
        </w:rPr>
        <w:t>.</w:t>
      </w:r>
      <w:r>
        <w:rPr>
          <w:sz w:val="20"/>
        </w:rPr>
        <w:t xml:space="preserve">  For purposes of Section 6(e) of the ISDA Agreement, the Second Method and Loss shall apply.</w:t>
      </w:r>
    </w:p>
    <w:p>
      <w:pPr>
        <w:pStyle w:val="Normal"/>
        <w:jc w:val="both"/>
        <w:rPr>
          <w:sz w:val="20"/>
        </w:rPr>
      </w:pPr>
      <w:r>
        <w:rPr>
          <w:sz w:val="20"/>
        </w:rPr>
      </w:r>
    </w:p>
    <w:p>
      <w:pPr>
        <w:pStyle w:val="Normal"/>
        <w:jc w:val="both"/>
        <w:rPr/>
      </w:pPr>
      <w:r>
        <w:rPr>
          <w:sz w:val="20"/>
        </w:rPr>
        <w:t>7.</w:t>
        <w:tab/>
      </w:r>
      <w:r>
        <w:rPr>
          <w:b/>
          <w:sz w:val="20"/>
          <w:u w:val="single"/>
        </w:rPr>
        <w:t>Governing Law/Jurisdiction</w:t>
      </w:r>
      <w:r>
        <w:rPr>
          <w:b/>
          <w:sz w:val="20"/>
        </w:rPr>
        <w:t>.</w:t>
      </w:r>
      <w:r>
        <w:rPr>
          <w:sz w:val="20"/>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sz w:val="20"/>
        </w:rPr>
      </w:pPr>
      <w:r>
        <w:rPr>
          <w:sz w:val="20"/>
        </w:rPr>
      </w:r>
    </w:p>
    <w:p>
      <w:pPr>
        <w:pStyle w:val="Normal"/>
        <w:jc w:val="both"/>
        <w:rPr/>
      </w:pPr>
      <w:r>
        <w:rPr>
          <w:sz w:val="20"/>
        </w:rPr>
        <w:t>8.</w:t>
        <w:tab/>
      </w:r>
      <w:r>
        <w:rPr>
          <w:b/>
          <w:sz w:val="20"/>
          <w:u w:val="single"/>
        </w:rPr>
        <w:t>Confidentiality</w:t>
      </w:r>
      <w:r>
        <w:rPr>
          <w:b/>
          <w:sz w:val="20"/>
        </w:rPr>
        <w:t>.</w:t>
      </w:r>
      <w:r>
        <w:rPr>
          <w:sz w:val="20"/>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sz w:val="20"/>
        </w:rPr>
      </w:pPr>
      <w:r>
        <w:rPr>
          <w:sz w:val="20"/>
        </w:rPr>
      </w:r>
    </w:p>
    <w:p>
      <w:pPr>
        <w:pStyle w:val="Normal"/>
        <w:jc w:val="both"/>
        <w:rPr/>
      </w:pPr>
      <w:r>
        <w:rPr>
          <w:sz w:val="20"/>
        </w:rPr>
        <w:t>9.</w:t>
        <w:tab/>
      </w:r>
      <w:r>
        <w:rPr>
          <w:b/>
          <w:sz w:val="20"/>
          <w:u w:val="single"/>
        </w:rPr>
        <w:t>Calculation Agent</w:t>
      </w:r>
      <w:r>
        <w:rPr>
          <w:b/>
          <w:sz w:val="20"/>
        </w:rPr>
        <w:t>.</w:t>
      </w:r>
      <w:r>
        <w:rPr>
          <w:sz w:val="20"/>
        </w:rPr>
        <w:t xml:space="preserve">  The Calculation Agent shall be ENA.</w:t>
      </w:r>
    </w:p>
    <w:p>
      <w:pPr>
        <w:pStyle w:val="Normal"/>
        <w:jc w:val="both"/>
        <w:rPr>
          <w:sz w:val="20"/>
        </w:rPr>
      </w:pPr>
      <w:r>
        <w:rPr>
          <w:sz w:val="20"/>
        </w:rPr>
      </w:r>
    </w:p>
    <w:p>
      <w:pPr>
        <w:pStyle w:val="Normal"/>
        <w:tabs>
          <w:tab w:val="clear" w:pos="720"/>
          <w:tab w:val="left" w:pos="810" w:leader="none"/>
          <w:tab w:val="left" w:pos="1170" w:leader="none"/>
        </w:tabs>
        <w:jc w:val="both"/>
        <w:rPr/>
      </w:pPr>
      <w:r>
        <w:rPr>
          <w:sz w:val="20"/>
        </w:rPr>
        <w:t>10.</w:t>
        <w:tab/>
      </w:r>
      <w:r>
        <w:rPr>
          <w:b/>
          <w:sz w:val="20"/>
          <w:u w:val="single"/>
        </w:rPr>
        <w:t>Limitation of Liability</w:t>
      </w:r>
      <w:r>
        <w:rPr>
          <w:b/>
          <w:sz w:val="20"/>
        </w:rPr>
        <w:t xml:space="preserve">. </w:t>
      </w:r>
      <w:r>
        <w:rPr>
          <w:sz w:val="20"/>
        </w:rPr>
        <w:t xml:space="preserve">  </w:t>
      </w:r>
      <w:r>
        <w:rPr>
          <w:b/>
          <w:caps/>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sz w:val="20"/>
        </w:rPr>
        <w:t xml:space="preserve"> </w:t>
      </w:r>
    </w:p>
    <w:p>
      <w:pPr>
        <w:pStyle w:val="Normal"/>
        <w:rPr>
          <w:sz w:val="20"/>
        </w:rPr>
      </w:pPr>
      <w:r>
        <w:rPr>
          <w:sz w:val="20"/>
        </w:rPr>
      </w:r>
    </w:p>
    <w:p>
      <w:pPr>
        <w:pStyle w:val="Normal"/>
        <w:jc w:val="both"/>
        <w:rPr/>
      </w:pPr>
      <w:r>
        <w:rPr>
          <w:sz w:val="20"/>
        </w:rPr>
        <w:t>11.</w:t>
        <w:tab/>
      </w:r>
      <w:r>
        <w:rPr>
          <w:b/>
          <w:sz w:val="20"/>
          <w:u w:val="single"/>
        </w:rPr>
        <w:t>Setoff</w:t>
      </w:r>
      <w:r>
        <w:rPr>
          <w:b/>
          <w:sz w:val="20"/>
        </w:rPr>
        <w:t>.</w:t>
      </w:r>
      <w:r>
        <w:rPr>
          <w:sz w:val="20"/>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0"/>
        </w:rPr>
      </w:pPr>
      <w:r>
        <w:rPr>
          <w:sz w:val="20"/>
        </w:rPr>
      </w:r>
    </w:p>
    <w:p>
      <w:pPr>
        <w:pStyle w:val="Normal"/>
        <w:ind w:firstLine="720" w:end="0"/>
        <w:jc w:val="both"/>
        <w:rPr>
          <w:sz w:val="20"/>
        </w:rPr>
      </w:pPr>
      <w:r>
        <w:rPr>
          <w:sz w:val="20"/>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sz w:val="20"/>
        </w:rPr>
      </w:pPr>
      <w:r>
        <w:rPr>
          <w:sz w:val="20"/>
        </w:rPr>
      </w:r>
    </w:p>
    <w:p>
      <w:pPr>
        <w:pStyle w:val="Normal"/>
        <w:jc w:val="both"/>
        <w:rPr/>
      </w:pPr>
      <w:r>
        <w:rPr>
          <w:sz w:val="20"/>
        </w:rPr>
        <w:t>12.</w:t>
        <w:tab/>
      </w:r>
      <w:r>
        <w:rPr>
          <w:b/>
          <w:sz w:val="20"/>
          <w:u w:val="single"/>
        </w:rPr>
        <w:t>Termination Currency.</w:t>
      </w:r>
      <w:r>
        <w:rPr>
          <w:sz w:val="20"/>
        </w:rPr>
        <w:t xml:space="preserve">  The Termination Currency shall be U.S. Dollars.</w:t>
      </w:r>
    </w:p>
    <w:p>
      <w:pPr>
        <w:pStyle w:val="Normal"/>
        <w:jc w:val="both"/>
        <w:rPr>
          <w:sz w:val="20"/>
        </w:rPr>
      </w:pPr>
      <w:r>
        <w:rPr>
          <w:sz w:val="20"/>
        </w:rPr>
      </w:r>
    </w:p>
    <w:p>
      <w:pPr>
        <w:pStyle w:val="Normal"/>
        <w:jc w:val="both"/>
        <w:rPr/>
      </w:pPr>
      <w:r>
        <w:rPr>
          <w:sz w:val="20"/>
        </w:rPr>
        <w:t>13.</w:t>
        <w:tab/>
      </w:r>
      <w:r>
        <w:rPr>
          <w:b/>
          <w:sz w:val="20"/>
          <w:u w:val="single"/>
        </w:rPr>
        <w:t>Miscellaneous</w:t>
      </w:r>
      <w:r>
        <w:rPr>
          <w:b/>
          <w:sz w:val="20"/>
        </w:rPr>
        <w:t>.</w:t>
      </w:r>
    </w:p>
    <w:p>
      <w:pPr>
        <w:pStyle w:val="Normal"/>
        <w:jc w:val="both"/>
        <w:rPr>
          <w:b/>
          <w:sz w:val="20"/>
          <w:u w:val="single"/>
        </w:rPr>
      </w:pPr>
      <w:r>
        <w:rPr>
          <w:b/>
          <w:sz w:val="20"/>
          <w:u w:val="single"/>
        </w:rPr>
      </w:r>
    </w:p>
    <w:p>
      <w:pPr>
        <w:pStyle w:val="Normal"/>
        <w:jc w:val="both"/>
        <w:rPr/>
      </w:pPr>
      <w:r>
        <w:rPr>
          <w:sz w:val="20"/>
        </w:rPr>
        <w:t>a)</w:t>
      </w:r>
      <w:r>
        <w:rPr>
          <w:b/>
          <w:sz w:val="20"/>
        </w:rPr>
        <w:t xml:space="preserve"> </w:t>
      </w:r>
      <w:r>
        <w:rPr>
          <w:b/>
          <w:sz w:val="20"/>
          <w:u w:val="single"/>
        </w:rPr>
        <w:t>Additional Representations.</w:t>
      </w:r>
      <w:r>
        <w:rPr>
          <w:sz w:val="20"/>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sz w:val="20"/>
        </w:rPr>
      </w:pPr>
      <w:r>
        <w:rPr>
          <w:color w:val="FF0000"/>
          <w:sz w:val="20"/>
        </w:rPr>
      </w:r>
    </w:p>
    <w:p>
      <w:pPr>
        <w:pStyle w:val="Normal"/>
        <w:numPr>
          <w:ilvl w:val="0"/>
          <w:numId w:val="3"/>
        </w:numPr>
        <w:jc w:val="both"/>
        <w:rPr>
          <w:sz w:val="20"/>
        </w:rPr>
      </w:pPr>
      <w:r>
        <w:rPr>
          <w:sz w:val="20"/>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 w:val="20"/>
        </w:rPr>
      </w:pPr>
      <w:r>
        <w:rPr>
          <w:sz w:val="20"/>
        </w:rPr>
      </w:r>
    </w:p>
    <w:p>
      <w:pPr>
        <w:pStyle w:val="Normal"/>
        <w:ind w:hanging="720" w:start="1440" w:end="0"/>
        <w:jc w:val="both"/>
        <w:rPr>
          <w:sz w:val="20"/>
        </w:rPr>
      </w:pPr>
      <w:r>
        <w:rPr>
          <w:sz w:val="20"/>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 w:val="20"/>
        </w:rPr>
      </w:pPr>
      <w:r>
        <w:rPr>
          <w:sz w:val="20"/>
        </w:rPr>
      </w:r>
    </w:p>
    <w:p>
      <w:pPr>
        <w:pStyle w:val="Normal"/>
        <w:rPr/>
      </w:pPr>
      <w:r>
        <w:rPr>
          <w:sz w:val="20"/>
        </w:rPr>
        <w:t xml:space="preserve">b) </w:t>
      </w:r>
      <w:r>
        <w:rPr>
          <w:b/>
          <w:sz w:val="20"/>
          <w:u w:val="single"/>
        </w:rPr>
        <w:t>Legal Opinion.</w:t>
      </w:r>
      <w:r>
        <w:rPr>
          <w:sz w:val="20"/>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sz w:val="20"/>
        </w:rPr>
      </w:pPr>
      <w:r>
        <w:rPr>
          <w:color w:val="FF0000"/>
          <w:sz w:val="20"/>
        </w:rPr>
      </w:r>
    </w:p>
    <w:p>
      <w:pPr>
        <w:pStyle w:val="Normal"/>
        <w:jc w:val="both"/>
        <w:rPr/>
      </w:pPr>
      <w:r>
        <w:rPr>
          <w:sz w:val="20"/>
        </w:rPr>
        <w:t>c)</w:t>
      </w:r>
      <w:r>
        <w:rPr>
          <w:b/>
          <w:sz w:val="20"/>
        </w:rPr>
        <w:t xml:space="preserve"> </w:t>
      </w:r>
      <w:r>
        <w:rPr>
          <w:b/>
          <w:sz w:val="20"/>
          <w:u w:val="single"/>
        </w:rPr>
        <w:t>Authorization.</w:t>
      </w:r>
      <w:r>
        <w:rPr>
          <w:sz w:val="20"/>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sz w:val="20"/>
        </w:rPr>
      </w:pPr>
      <w:r>
        <w:rPr>
          <w:sz w:val="20"/>
        </w:rPr>
        <w:t>14.</w:t>
        <w:tab/>
      </w:r>
      <w:r>
        <w:rPr>
          <w:b/>
          <w:sz w:val="20"/>
          <w:u w:val="single"/>
        </w:rPr>
        <w:t>Offices</w:t>
      </w:r>
      <w:r>
        <w:rPr>
          <w:b/>
          <w:sz w:val="20"/>
        </w:rPr>
        <w:t>.</w:t>
      </w:r>
    </w:p>
    <w:p>
      <w:pPr>
        <w:pStyle w:val="Normal"/>
        <w:keepNext w:val="true"/>
        <w:rPr>
          <w:sz w:val="20"/>
        </w:rPr>
      </w:pPr>
      <w:r>
        <w:rPr>
          <w:sz w:val="20"/>
        </w:rPr>
      </w:r>
    </w:p>
    <w:p>
      <w:pPr>
        <w:pStyle w:val="Normal"/>
        <w:keepNext w:val="true"/>
        <w:jc w:val="both"/>
        <w:rPr>
          <w:sz w:val="20"/>
        </w:rPr>
      </w:pPr>
      <w:r>
        <w:rPr>
          <w:sz w:val="20"/>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sz w:val="20"/>
        </w:rPr>
      </w:pPr>
      <w:r>
        <w:rPr>
          <w:sz w:val="20"/>
        </w:rPr>
      </w:r>
    </w:p>
    <w:p>
      <w:pPr>
        <w:pStyle w:val="Normal"/>
        <w:jc w:val="both"/>
        <w:rPr>
          <w:sz w:val="20"/>
        </w:rPr>
      </w:pPr>
      <w:r>
        <w:rPr>
          <w:sz w:val="20"/>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sz w:val="20"/>
        </w:rPr>
      </w:pPr>
      <w:r>
        <w:rPr>
          <w:sz w:val="20"/>
        </w:rPr>
      </w:r>
    </w:p>
    <w:p>
      <w:pPr>
        <w:pStyle w:val="Normal"/>
        <w:keepNext w:val="true"/>
        <w:jc w:val="both"/>
        <w:rPr>
          <w:b/>
          <w:sz w:val="20"/>
          <w:u w:val="single"/>
        </w:rPr>
      </w:pPr>
      <w:r>
        <w:rPr>
          <w:sz w:val="20"/>
        </w:rPr>
        <w:t>15.</w:t>
        <w:tab/>
      </w:r>
      <w:r>
        <w:rPr>
          <w:b/>
          <w:sz w:val="20"/>
          <w:u w:val="single"/>
        </w:rPr>
        <w:t>Credit or Other Special Provisions</w:t>
      </w:r>
      <w:r>
        <w:rPr>
          <w:b/>
          <w:sz w:val="20"/>
        </w:rPr>
        <w:t>.</w:t>
      </w:r>
    </w:p>
    <w:p>
      <w:pPr>
        <w:pStyle w:val="Normal"/>
        <w:keepNext w:val="true"/>
        <w:jc w:val="both"/>
        <w:rPr>
          <w:b/>
          <w:sz w:val="20"/>
          <w:u w:val="single"/>
        </w:rPr>
      </w:pPr>
      <w:r>
        <w:rPr>
          <w:b/>
          <w:sz w:val="20"/>
          <w:u w:val="single"/>
        </w:rPr>
      </w:r>
    </w:p>
    <w:p>
      <w:pPr>
        <w:pStyle w:val="Normal"/>
        <w:keepNext w:val="true"/>
        <w:jc w:val="both"/>
        <w:rPr>
          <w:sz w:val="20"/>
        </w:rPr>
      </w:pPr>
      <w:r>
        <w:rPr>
          <w:sz w:val="20"/>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sz w:val="20"/>
        </w:rPr>
      </w:pPr>
      <w:r>
        <w:rPr>
          <w:sz w:val="20"/>
        </w:rPr>
        <w:t>Enron North America Corp. is pleased to have entered into this Transaction with you.</w:t>
      </w:r>
    </w:p>
    <w:p>
      <w:pPr>
        <w:pStyle w:val="Normal"/>
        <w:rPr>
          <w:sz w:val="20"/>
        </w:rPr>
      </w:pPr>
      <w:r>
        <w:rPr>
          <w:sz w:val="20"/>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sz w:val="20"/>
        </w:rPr>
      </w:pPr>
      <w:r>
        <w:rPr>
          <w:rFonts w:cs="Times New Roman"/>
          <w:sz w:val="20"/>
        </w:rPr>
      </w:r>
    </w:p>
    <w:p>
      <w:pPr>
        <w:pStyle w:val="Normal"/>
        <w:keepNext w:val="true"/>
        <w:rPr>
          <w:b/>
          <w:sz w:val="20"/>
        </w:rPr>
      </w:pPr>
      <w:r>
        <w:rPr>
          <w:b/>
          <w:sz w:val="20"/>
        </w:rPr>
        <w:t>ENRON NORTH AMERICA CORP.</w:t>
      </w:r>
    </w:p>
    <w:p>
      <w:pPr>
        <w:pStyle w:val="Normal"/>
        <w:keepNext w:val="true"/>
        <w:rPr>
          <w:b/>
          <w:sz w:val="20"/>
        </w:rPr>
      </w:pPr>
      <w:r>
        <w:rPr>
          <w:b/>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rPr>
          <w:sz w:val="20"/>
        </w:rPr>
      </w:pPr>
      <w:r>
        <w:rPr>
          <w:sz w:val="20"/>
        </w:rPr>
      </w:r>
    </w:p>
    <w:p>
      <w:pPr>
        <w:pStyle w:val="Normal"/>
        <w:keepNext w:val="true"/>
        <w:rPr>
          <w:sz w:val="20"/>
        </w:rPr>
      </w:pPr>
      <w:r>
        <w:rPr>
          <w:sz w:val="20"/>
        </w:rPr>
        <w:t>Confirmed as of the Trade Date:</w:t>
      </w:r>
    </w:p>
    <w:p>
      <w:pPr>
        <w:pStyle w:val="Normal"/>
        <w:keepNext w:val="true"/>
        <w:rPr>
          <w:sz w:val="20"/>
        </w:rPr>
      </w:pPr>
      <w:r>
        <w:rPr>
          <w:sz w:val="20"/>
        </w:rPr>
      </w:r>
    </w:p>
    <w:p>
      <w:pPr>
        <w:pStyle w:val="Normal"/>
        <w:keepNext w:val="true"/>
        <w:rPr>
          <w:sz w:val="20"/>
        </w:rPr>
      </w:pPr>
      <w:r>
        <w:rPr>
          <w:b/>
          <w:sz w:val="20"/>
        </w:rPr>
        <w:t>CATEQUIL PARTNERS, L.P.</w:t>
      </w:r>
    </w:p>
    <w:p>
      <w:pPr>
        <w:pStyle w:val="Normal"/>
        <w:keepNext w:val="true"/>
        <w:rPr>
          <w:sz w:val="20"/>
        </w:rPr>
      </w:pPr>
      <w:r>
        <w:rPr>
          <w:sz w:val="20"/>
        </w:rPr>
      </w:r>
    </w:p>
    <w:p>
      <w:pPr>
        <w:pStyle w:val="Normal"/>
        <w:keepNext w:val="true"/>
        <w:rPr>
          <w:sz w:val="20"/>
        </w:rPr>
      </w:pPr>
      <w:r>
        <w:rPr>
          <w:sz w:val="20"/>
        </w:rPr>
        <w:t>By:</w:t>
        <w:tab/>
        <w:t>_____________________________</w:t>
      </w:r>
    </w:p>
    <w:p>
      <w:pPr>
        <w:pStyle w:val="Normal"/>
        <w:keepNext w:val="true"/>
        <w:rPr>
          <w:sz w:val="20"/>
        </w:rPr>
      </w:pPr>
      <w:r>
        <w:rPr>
          <w:sz w:val="20"/>
        </w:rPr>
        <w:t>Name:</w:t>
        <w:tab/>
        <w:t>_____________________________</w:t>
      </w:r>
    </w:p>
    <w:p>
      <w:pPr>
        <w:pStyle w:val="Normal"/>
        <w:keepNext w:val="true"/>
        <w:rPr>
          <w:sz w:val="20"/>
        </w:rPr>
      </w:pPr>
      <w:r>
        <w:rPr>
          <w:sz w:val="20"/>
        </w:rPr>
        <w:t>Title:</w:t>
        <w:tab/>
        <w:t>_____________________________</w:t>
      </w:r>
    </w:p>
    <w:p>
      <w:pPr>
        <w:pStyle w:val="Normal"/>
        <w:keepNext w:val="true"/>
        <w:spacing w:lineRule="exact" w:line="240"/>
        <w:jc w:val="both"/>
        <w:rPr>
          <w:b/>
          <w:sz w:val="20"/>
        </w:rPr>
      </w:pPr>
      <w:r>
        <w:rPr>
          <w:b/>
          <w:sz w:val="20"/>
        </w:rPr>
      </w:r>
      <w:r>
        <w:br w:type="page"/>
      </w:r>
    </w:p>
    <w:p>
      <w:pPr>
        <w:pStyle w:val="Normal"/>
        <w:jc w:val="center"/>
        <w:rPr>
          <w:b/>
          <w:sz w:val="20"/>
        </w:rPr>
      </w:pPr>
      <w:r>
        <w:rPr>
          <w:b/>
          <w:sz w:val="20"/>
        </w:rPr>
        <w:t>Attachment</w:t>
      </w:r>
    </w:p>
    <w:p>
      <w:pPr>
        <w:pStyle w:val="Normal"/>
        <w:jc w:val="center"/>
        <w:rPr>
          <w:b/>
          <w:sz w:val="20"/>
        </w:rPr>
      </w:pPr>
      <w:r>
        <w:rPr>
          <w:b/>
          <w:sz w:val="20"/>
        </w:rPr>
        <w:t>Contract No. QV4865.2</w:t>
      </w:r>
    </w:p>
    <w:p>
      <w:pPr>
        <w:pStyle w:val="Normal"/>
        <w:jc w:val="center"/>
        <w:rPr>
          <w:b/>
          <w:sz w:val="20"/>
        </w:rPr>
      </w:pPr>
      <w:r>
        <w:rPr>
          <w:b/>
          <w:sz w:val="20"/>
        </w:rPr>
      </w:r>
    </w:p>
    <w:p>
      <w:pPr>
        <w:pStyle w:val="Normal"/>
        <w:rPr>
          <w:b/>
          <w:sz w:val="20"/>
        </w:rPr>
      </w:pPr>
      <w:r>
        <w:rPr>
          <w:b/>
          <w:sz w:val="20"/>
        </w:rPr>
      </w:r>
    </w:p>
    <w:p>
      <w:pPr>
        <w:pStyle w:val="BodyText2"/>
        <w:rPr/>
      </w:pPr>
      <w:r>
        <w:rPr/>
        <w:tab/>
        <w:tab/>
        <w:t>Quantity Measurement: MMBtu</w:t>
      </w:r>
    </w:p>
    <w:p>
      <w:pPr>
        <w:pStyle w:val="BodyText2"/>
        <w:rPr/>
      </w:pPr>
      <w:r>
        <w:rPr/>
      </w:r>
    </w:p>
    <w:p>
      <w:pPr>
        <w:pStyle w:val="BodyText2"/>
        <w:rPr/>
      </w:pPr>
      <w:r>
        <w:rPr/>
      </w:r>
    </w:p>
    <w:p>
      <w:pPr>
        <w:pStyle w:val="BodyText2"/>
        <w:rPr/>
      </w:pPr>
      <w:r>
        <w:rPr/>
        <w:tab/>
        <w:tab/>
        <w:t xml:space="preserve">                                    Quantity Per Month</w:t>
      </w:r>
    </w:p>
    <w:p>
      <w:pPr>
        <w:pStyle w:val="BodyText2"/>
        <w:rPr/>
      </w:pPr>
      <w:r>
        <w:rPr/>
        <w:tab/>
        <w:tab/>
        <w:t xml:space="preserve">Calculation                   Per Calculation </w:t>
      </w:r>
    </w:p>
    <w:p>
      <w:pPr>
        <w:pStyle w:val="BodyText2"/>
        <w:rPr/>
      </w:pPr>
      <w:r>
        <w:rPr/>
        <w:tab/>
        <w:tab/>
        <w:t xml:space="preserve">     Period                             Period                          </w:t>
      </w:r>
    </w:p>
    <w:p>
      <w:pPr>
        <w:pStyle w:val="BodyText2"/>
        <w:rPr/>
      </w:pPr>
      <w:r>
        <w:rPr/>
        <w:tab/>
        <w:tab/>
        <w:t xml:space="preserve">--------------------            ---------------------              </w:t>
      </w:r>
    </w:p>
    <w:p>
      <w:pPr>
        <w:pStyle w:val="BodyText2"/>
        <w:rPr/>
      </w:pPr>
      <w:r>
        <w:rPr/>
      </w:r>
    </w:p>
    <w:p>
      <w:pPr>
        <w:pStyle w:val="BodyText2"/>
        <w:rPr/>
      </w:pPr>
      <w:r>
        <w:rPr/>
        <w:tab/>
        <w:tab/>
        <w:t>November, 2001</w:t>
        <w:tab/>
        <w:tab/>
        <w:t>120,000</w:t>
        <w:tab/>
        <w:t xml:space="preserve"> </w:t>
      </w:r>
    </w:p>
    <w:p>
      <w:pPr>
        <w:pStyle w:val="BodyText2"/>
        <w:rPr/>
      </w:pPr>
      <w:r>
        <w:rPr/>
        <w:tab/>
        <w:tab/>
        <w:t>December, 2001</w:t>
        <w:tab/>
        <w:tab/>
        <w:t>130,000</w:t>
        <w:tab/>
        <w:t xml:space="preserve"> </w:t>
      </w:r>
    </w:p>
    <w:p>
      <w:pPr>
        <w:pStyle w:val="BodyText2"/>
        <w:rPr/>
      </w:pPr>
      <w:r>
        <w:rPr/>
        <w:tab/>
        <w:tab/>
        <w:t>January, 2002</w:t>
        <w:tab/>
        <w:tab/>
        <w:t>130,000</w:t>
      </w:r>
    </w:p>
    <w:p>
      <w:pPr>
        <w:pStyle w:val="BodyText2"/>
        <w:rPr/>
      </w:pPr>
      <w:r>
        <w:rPr/>
        <w:tab/>
        <w:tab/>
        <w:t>February, 2002</w:t>
        <w:tab/>
        <w:tab/>
        <w:t>100,000</w:t>
        <w:tab/>
      </w:r>
    </w:p>
    <w:p>
      <w:pPr>
        <w:pStyle w:val="BodyText2"/>
        <w:rPr/>
      </w:pPr>
      <w:r>
        <w:rPr/>
        <w:tab/>
        <w:tab/>
        <w:t>March, 2002</w:t>
        <w:tab/>
        <w:tab/>
        <w:t>130,000</w:t>
        <w:tab/>
        <w:t xml:space="preserve"> </w:t>
      </w:r>
    </w:p>
    <w:p>
      <w:pPr>
        <w:pStyle w:val="BodyText2"/>
        <w:rPr/>
      </w:pPr>
      <w:r>
        <w:rPr/>
      </w:r>
    </w:p>
    <w:p>
      <w:pPr>
        <w:pStyle w:val="Normal"/>
        <w:rPr>
          <w:b/>
          <w:sz w:val="20"/>
        </w:rPr>
      </w:pPr>
      <w:r>
        <w:rPr>
          <w:b/>
          <w:sz w:val="20"/>
        </w:rPr>
      </w:r>
    </w:p>
    <w:p>
      <w:pPr>
        <w:pStyle w:val="Normal"/>
        <w:rPr>
          <w:sz w:val="20"/>
        </w:rPr>
      </w:pPr>
      <w:r>
        <w:rPr>
          <w:b/>
          <w:sz w:val="20"/>
        </w:rPr>
        <w:tab/>
        <w:tab/>
        <w:tab/>
        <w:t>End Of Attachment</w:t>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sz w:val="20"/>
        </w:rPr>
      </w:pPr>
      <w:r>
        <w:rPr>
          <w:sz w:val="20"/>
        </w:rPr>
      </w:r>
    </w:p>
    <w:p>
      <w:pPr>
        <w:pStyle w:val="Normal"/>
        <w:keepNext w:val="true"/>
        <w:jc w:val="center"/>
        <w:rPr>
          <w:b/>
          <w:color w:val="000000"/>
          <w:sz w:val="20"/>
          <w:u w:val="single"/>
        </w:rPr>
      </w:pPr>
      <w:r>
        <w:rPr>
          <w:b/>
          <w:color w:val="000000"/>
          <w:sz w:val="20"/>
          <w:u w:val="single"/>
        </w:rPr>
        <w:t>EXHIBIT 1</w:t>
      </w:r>
    </w:p>
    <w:p>
      <w:pPr>
        <w:pStyle w:val="Normal"/>
        <w:keepNext w:val="true"/>
        <w:jc w:val="end"/>
        <w:rPr>
          <w:b/>
          <w:color w:val="000000"/>
          <w:sz w:val="20"/>
          <w:u w:val="single"/>
        </w:rPr>
      </w:pPr>
      <w:r>
        <w:rPr>
          <w:b/>
          <w:color w:val="000000"/>
          <w:sz w:val="20"/>
          <w:u w:val="single"/>
        </w:rPr>
      </w:r>
    </w:p>
    <w:p>
      <w:pPr>
        <w:pStyle w:val="Normal"/>
        <w:jc w:val="end"/>
        <w:rPr>
          <w:color w:val="000000"/>
          <w:sz w:val="20"/>
        </w:rPr>
      </w:pPr>
      <w:r>
        <w:rPr>
          <w:color w:val="000000"/>
          <w:sz w:val="20"/>
        </w:rPr>
      </w:r>
    </w:p>
    <w:p>
      <w:pPr>
        <w:pStyle w:val="Normal"/>
        <w:rPr>
          <w:sz w:val="20"/>
        </w:rPr>
      </w:pPr>
      <w:r>
        <w:rPr>
          <w:sz w:val="20"/>
        </w:rPr>
      </w:r>
    </w:p>
    <w:p>
      <w:pPr>
        <w:pStyle w:val="Normal"/>
        <w:rPr>
          <w:sz w:val="20"/>
        </w:rPr>
      </w:pPr>
      <w:r>
        <w:rPr>
          <w:sz w:val="20"/>
        </w:rPr>
      </w:r>
    </w:p>
    <w:p>
      <w:pPr>
        <w:pStyle w:val="Normal"/>
        <w:jc w:val="center"/>
        <w:rPr>
          <w:sz w:val="20"/>
        </w:rPr>
      </w:pPr>
      <w:r>
        <w:rPr>
          <w:sz w:val="20"/>
        </w:rPr>
        <w:t>[Letterhead of</w:t>
      </w:r>
    </w:p>
    <w:p>
      <w:pPr>
        <w:pStyle w:val="Normal"/>
        <w:jc w:val="center"/>
        <w:rPr>
          <w:sz w:val="20"/>
        </w:rPr>
      </w:pPr>
      <w:r>
        <w:rPr>
          <w:sz w:val="20"/>
        </w:rPr>
        <w:t>Counsel to Counterparty]</w: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[Date]</w:t>
      </w:r>
    </w:p>
    <w:p>
      <w:pPr>
        <w:pStyle w:val="Normal"/>
        <w:jc w:val="center"/>
        <w:rPr>
          <w:sz w:val="20"/>
        </w:rPr>
      </w:pPr>
      <w:r>
        <w:rPr>
          <w:sz w:val="20"/>
        </w:rPr>
      </w:r>
    </w:p>
    <w:p>
      <w:pPr>
        <w:pStyle w:val="Normal"/>
        <w:jc w:val="center"/>
        <w:rPr>
          <w:sz w:val="20"/>
        </w:rPr>
      </w:pPr>
      <w:r>
        <w:rPr>
          <w:sz w:val="20"/>
        </w:rPr>
      </w:r>
    </w:p>
    <w:p>
      <w:pPr>
        <w:pStyle w:val="Normal"/>
        <w:rPr>
          <w:sz w:val="20"/>
        </w:rPr>
      </w:pPr>
      <w:r>
        <w:rPr>
          <w:sz w:val="20"/>
        </w:rPr>
        <w:t>Enron North America Corp.</w:t>
      </w:r>
    </w:p>
    <w:p>
      <w:pPr>
        <w:pStyle w:val="Normal"/>
        <w:rPr>
          <w:sz w:val="20"/>
        </w:rPr>
      </w:pPr>
      <w:r>
        <w:rPr>
          <w:sz w:val="20"/>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sz w:val="20"/>
        </w:rPr>
      </w:pPr>
      <w:r>
        <w:rPr>
          <w:rFonts w:cs="Times New Roman"/>
          <w:sz w:val="20"/>
        </w:rPr>
      </w:r>
    </w:p>
    <w:p>
      <w:pPr>
        <w:pStyle w:val="Normal"/>
        <w:rPr>
          <w:sz w:val="20"/>
        </w:rPr>
      </w:pPr>
      <w:r>
        <w:rPr>
          <w:sz w:val="20"/>
        </w:rPr>
        <w:t>Dear Sir or Madam:</w:t>
      </w:r>
    </w:p>
    <w:p>
      <w:pPr>
        <w:pStyle w:val="Normal"/>
        <w:rPr>
          <w:sz w:val="20"/>
        </w:rPr>
      </w:pPr>
      <w:r>
        <w:rPr>
          <w:sz w:val="20"/>
        </w:rPr>
      </w:r>
    </w:p>
    <w:p>
      <w:pPr>
        <w:pStyle w:val="Normal"/>
        <w:ind w:firstLine="1440" w:end="0"/>
        <w:jc w:val="both"/>
        <w:rPr>
          <w:sz w:val="20"/>
        </w:rPr>
      </w:pPr>
      <w:r>
        <w:rPr>
          <w:sz w:val="20"/>
        </w:rPr>
        <w:t>We have acted as counsel to Catequil Partners, L.P.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sz w:val="20"/>
        </w:rPr>
      </w:pPr>
      <w:r>
        <w:rPr>
          <w:sz w:val="20"/>
        </w:rPr>
      </w:r>
    </w:p>
    <w:p>
      <w:pPr>
        <w:pStyle w:val="Normal"/>
        <w:jc w:val="both"/>
        <w:rPr/>
      </w:pPr>
      <w:r>
        <w:rPr>
          <w:sz w:val="20"/>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0"/>
          <w:u w:val="single"/>
        </w:rPr>
        <w:t xml:space="preserve">                                              </w:t>
      </w:r>
      <w:r>
        <w:rPr>
          <w:sz w:val="20"/>
        </w:rPr>
        <w:t>.</w:t>
      </w:r>
    </w:p>
    <w:p>
      <w:pPr>
        <w:pStyle w:val="Normal"/>
        <w:jc w:val="both"/>
        <w:rPr>
          <w:sz w:val="20"/>
        </w:rPr>
      </w:pPr>
      <w:r>
        <w:rPr>
          <w:sz w:val="20"/>
        </w:rPr>
      </w:r>
    </w:p>
    <w:p>
      <w:pPr>
        <w:pStyle w:val="Normal"/>
        <w:jc w:val="both"/>
        <w:rPr>
          <w:sz w:val="20"/>
        </w:rPr>
      </w:pPr>
      <w:r>
        <w:rPr>
          <w:sz w:val="20"/>
        </w:rPr>
        <w:tab/>
        <w:tab/>
        <w:t>Based upon the foregoing and having regard for such legal considerations as we deem relevant, we are of opinion that:</w:t>
      </w:r>
    </w:p>
    <w:p>
      <w:pPr>
        <w:pStyle w:val="Normal"/>
        <w:jc w:val="both"/>
        <w:rPr>
          <w:sz w:val="20"/>
        </w:rPr>
      </w:pPr>
      <w:r>
        <w:rPr>
          <w:sz w:val="20"/>
        </w:rPr>
      </w:r>
    </w:p>
    <w:p>
      <w:pPr>
        <w:pStyle w:val="Normal"/>
        <w:tabs>
          <w:tab w:val="clear" w:pos="720"/>
          <w:tab w:val="left" w:pos="1440" w:leader="none"/>
        </w:tabs>
        <w:jc w:val="both"/>
        <w:rPr>
          <w:sz w:val="20"/>
        </w:rPr>
      </w:pPr>
      <w:r>
        <w:rPr>
          <w:sz w:val="20"/>
        </w:rPr>
        <w:tab/>
        <w:t>1.  The Counterparty is a [__________________] duly existing under the laws of [________________].</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2.  The Counterparty has full corporate power to execute and deliver the Agreement and to perform its obligations thereunder.</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0"/>
        </w:rPr>
      </w:pPr>
      <w:r>
        <w:rPr>
          <w:sz w:val="20"/>
        </w:rPr>
      </w:r>
    </w:p>
    <w:p>
      <w:pPr>
        <w:pStyle w:val="Normal"/>
        <w:tabs>
          <w:tab w:val="clear" w:pos="720"/>
          <w:tab w:val="left" w:pos="1440" w:leader="none"/>
        </w:tabs>
        <w:jc w:val="both"/>
        <w:rPr>
          <w:sz w:val="20"/>
        </w:rPr>
      </w:pPr>
      <w:r>
        <w:rPr>
          <w:sz w:val="20"/>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0"/>
        </w:rPr>
      </w:pPr>
      <w:r>
        <w:rPr>
          <w:sz w:val="20"/>
        </w:rPr>
      </w:r>
    </w:p>
    <w:p>
      <w:pPr>
        <w:pStyle w:val="Normal"/>
        <w:keepNext w:val="true"/>
        <w:jc w:val="end"/>
        <w:rPr>
          <w:sz w:val="20"/>
        </w:rPr>
      </w:pPr>
      <w:r>
        <w:rPr>
          <w:sz w:val="20"/>
        </w:rPr>
        <w:t>Very truly yours</w:t>
        <w:tab/>
        <w:tab/>
        <w:tab/>
      </w:r>
    </w:p>
    <w:p>
      <w:pPr>
        <w:pStyle w:val="Normal"/>
        <w:keepNext w:val="true"/>
        <w:jc w:val="end"/>
        <w:rPr>
          <w:sz w:val="20"/>
        </w:rPr>
      </w:pPr>
      <w:r>
        <w:rPr>
          <w:sz w:val="20"/>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sz w:val="20"/>
        </w:rPr>
      </w:pPr>
      <w:r>
        <w:rPr>
          <w:b/>
          <w:sz w:val="20"/>
        </w:rPr>
      </w:r>
    </w:p>
    <w:p>
      <w:pPr>
        <w:pStyle w:val="Normal"/>
        <w:keepNext w:val="true"/>
        <w:spacing w:lineRule="exact" w:line="240"/>
        <w:jc w:val="center"/>
        <w:rPr>
          <w:b/>
          <w:sz w:val="20"/>
        </w:rPr>
      </w:pPr>
      <w:r>
        <w:rPr>
          <w:b/>
          <w:sz w:val="20"/>
        </w:rPr>
        <w:t>ANNEX A</w:t>
      </w:r>
    </w:p>
    <w:p>
      <w:pPr>
        <w:pStyle w:val="Normal"/>
        <w:keepNext w:val="true"/>
        <w:jc w:val="center"/>
        <w:rPr>
          <w:b/>
          <w:sz w:val="20"/>
        </w:rPr>
      </w:pPr>
      <w:r>
        <w:rPr>
          <w:b/>
          <w:sz w:val="20"/>
        </w:rPr>
      </w:r>
    </w:p>
    <w:p>
      <w:pPr>
        <w:pStyle w:val="Normal"/>
        <w:keepNext w:val="true"/>
        <w:jc w:val="center"/>
        <w:rPr>
          <w:b/>
          <w:sz w:val="20"/>
        </w:rPr>
      </w:pPr>
      <w:r>
        <w:rPr>
          <w:b/>
          <w:sz w:val="20"/>
        </w:rPr>
        <w:t>U.S. WITHHOLDING TAX</w:t>
      </w:r>
    </w:p>
    <w:p>
      <w:pPr>
        <w:pStyle w:val="Normal"/>
        <w:keepNext w:val="true"/>
        <w:jc w:val="center"/>
        <w:rPr>
          <w:b/>
          <w:sz w:val="20"/>
        </w:rPr>
      </w:pPr>
      <w:r>
        <w:rPr>
          <w:b/>
          <w:sz w:val="20"/>
        </w:rPr>
      </w:r>
    </w:p>
    <w:p>
      <w:pPr>
        <w:pStyle w:val="Normal"/>
        <w:jc w:val="center"/>
        <w:rPr>
          <w:b/>
          <w:sz w:val="20"/>
        </w:rPr>
      </w:pPr>
      <w:r>
        <w:rPr>
          <w:b/>
          <w:sz w:val="20"/>
        </w:rPr>
        <w:t>Party A: Enron North America Corp.</w:t>
      </w:r>
    </w:p>
    <w:p>
      <w:pPr>
        <w:pStyle w:val="Normal"/>
        <w:jc w:val="center"/>
        <w:rPr>
          <w:b/>
          <w:sz w:val="20"/>
        </w:rPr>
      </w:pPr>
      <w:r>
        <w:rPr>
          <w:b/>
          <w:sz w:val="20"/>
        </w:rPr>
        <w:t>Party B:  Catequil Partners,  L.P.</w:t>
      </w:r>
    </w:p>
    <w:p>
      <w:pPr>
        <w:pStyle w:val="Normal"/>
        <w:tabs>
          <w:tab w:val="left" w:pos="720" w:leader="none"/>
          <w:tab w:val="left" w:pos="1080" w:leader="none"/>
        </w:tabs>
        <w:spacing w:lineRule="exact" w:line="480"/>
        <w:jc w:val="both"/>
        <w:rPr>
          <w:b/>
          <w:sz w:val="20"/>
        </w:rPr>
      </w:pPr>
      <w:r>
        <w:rPr>
          <w:b/>
          <w:sz w:val="20"/>
        </w:rPr>
        <w:t>I.</w:t>
        <w:tab/>
        <w:t>Tax Representations.</w:t>
      </w:r>
    </w:p>
    <w:p>
      <w:pPr>
        <w:pStyle w:val="Normal"/>
        <w:spacing w:lineRule="exact" w:line="240" w:before="240" w:after="0"/>
        <w:ind w:firstLine="720" w:end="0"/>
        <w:jc w:val="both"/>
        <w:rPr/>
      </w:pPr>
      <w:r>
        <w:rPr>
          <w:sz w:val="20"/>
        </w:rPr>
        <w:t>(a)</w:t>
      </w:r>
      <w:r>
        <w:rPr>
          <w:b/>
          <w:sz w:val="20"/>
        </w:rPr>
        <w:tab/>
        <w:t xml:space="preserve">Payer Representations.  </w:t>
      </w:r>
      <w:r>
        <w:rPr>
          <w:sz w:val="20"/>
        </w:rPr>
        <w:t>For the purpose of Section 3(e) of the ISDA Agreement, Party A and Party B make the following representation:</w:t>
      </w:r>
    </w:p>
    <w:p>
      <w:pPr>
        <w:pStyle w:val="Normal"/>
        <w:spacing w:lineRule="exact" w:line="240" w:before="240" w:after="0"/>
        <w:ind w:start="720" w:end="0"/>
        <w:jc w:val="both"/>
        <w:rPr/>
      </w:pPr>
      <w:r>
        <w:rPr>
          <w:sz w:val="20"/>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sz w:val="20"/>
        </w:rPr>
        <w:t>provided</w:t>
      </w:r>
      <w:r>
        <w:rPr>
          <w:sz w:val="20"/>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sz w:val="20"/>
        </w:rPr>
        <w:t>(b)</w:t>
      </w:r>
      <w:r>
        <w:rPr>
          <w:b/>
          <w:sz w:val="20"/>
        </w:rPr>
        <w:tab/>
        <w:t>Payee Representations.</w:t>
      </w:r>
      <w:r>
        <w:rPr>
          <w:sz w:val="20"/>
        </w:rPr>
        <w:t xml:space="preserve">  For the purpose of Section 3(f) of the ISDA Agreement, Party A and Party B make the following representations:</w:t>
      </w:r>
    </w:p>
    <w:p>
      <w:pPr>
        <w:pStyle w:val="Normal"/>
        <w:spacing w:lineRule="exact" w:line="240" w:before="240" w:after="0"/>
        <w:ind w:hanging="180" w:start="900" w:end="0"/>
        <w:jc w:val="both"/>
        <w:rPr>
          <w:sz w:val="20"/>
        </w:rPr>
      </w:pPr>
      <w:r>
        <w:rPr>
          <w:sz w:val="20"/>
        </w:rPr>
        <w:t>(i)</w:t>
        <w:tab/>
        <w:t>The following representation applies to Party A:</w:t>
      </w:r>
    </w:p>
    <w:p>
      <w:pPr>
        <w:pStyle w:val="Normal"/>
        <w:spacing w:lineRule="exact" w:line="240" w:before="240" w:after="0"/>
        <w:ind w:firstLine="540" w:start="900" w:end="0"/>
        <w:jc w:val="both"/>
        <w:rPr>
          <w:sz w:val="20"/>
        </w:rPr>
      </w:pPr>
      <w:r>
        <w:rPr>
          <w:sz w:val="20"/>
        </w:rPr>
        <w:t>Party A is a corporation organized under the law of the State of Delaware.</w:t>
      </w:r>
    </w:p>
    <w:p>
      <w:pPr>
        <w:pStyle w:val="Normal"/>
        <w:spacing w:lineRule="exact" w:line="240" w:before="240" w:after="0"/>
        <w:ind w:hanging="180" w:start="900" w:end="0"/>
        <w:jc w:val="both"/>
        <w:rPr>
          <w:sz w:val="20"/>
        </w:rPr>
      </w:pPr>
      <w:r>
        <w:rPr>
          <w:sz w:val="20"/>
        </w:rPr>
        <w:t>(ii)</w:t>
        <w:tab/>
        <w:t>The following representation applies to Party B:</w:t>
      </w:r>
    </w:p>
    <w:p>
      <w:pPr>
        <w:pStyle w:val="Normal"/>
        <w:spacing w:lineRule="exact" w:line="240" w:before="240" w:after="0"/>
        <w:ind w:firstLine="540" w:start="900" w:end="0"/>
        <w:jc w:val="both"/>
        <w:rPr/>
      </w:pPr>
      <w:r>
        <w:rPr>
          <w:sz w:val="20"/>
        </w:rPr>
        <w:t xml:space="preserve">Party B is a limited partnership organized under the law of the State of </w:t>
      </w:r>
      <w:r>
        <w:rPr>
          <w:sz w:val="20"/>
          <w:u w:val="single"/>
        </w:rPr>
        <w:tab/>
        <w:tab/>
        <w:tab/>
      </w:r>
    </w:p>
    <w:p>
      <w:pPr>
        <w:pStyle w:val="Normal"/>
        <w:tabs>
          <w:tab w:val="clear" w:pos="720"/>
          <w:tab w:val="left" w:pos="1080" w:leader="none"/>
        </w:tabs>
        <w:spacing w:lineRule="exact" w:line="480"/>
        <w:jc w:val="both"/>
        <w:rPr>
          <w:b/>
          <w:sz w:val="20"/>
        </w:rPr>
      </w:pPr>
      <w:r>
        <w:rPr>
          <w:b/>
          <w:sz w:val="20"/>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sz w:val="20"/>
        </w:rPr>
      </w:pPr>
      <w:r>
        <w:rPr>
          <w:sz w:val="20"/>
        </w:rPr>
        <w:t>(a)</w:t>
        <w:tab/>
        <w:t>Party B agrees to complete (accurately and in a manner reasonably satisfactory to Party A), execute, and deliver to Party A a United States Internal Revenue Form W-9, or any successor form, (i) as of the date of this Confirmation and the ISDA Agreement, (ii) promptly upon reasonable demand by Party A, and (iii) promptly upon learning that any such form previously provided by Party B has become obsolete or incorrect.</w:t>
      </w:r>
    </w:p>
    <w:p>
      <w:pPr>
        <w:pStyle w:val="Normal"/>
        <w:spacing w:lineRule="exact" w:line="240"/>
        <w:jc w:val="both"/>
        <w:rPr>
          <w:b/>
          <w:sz w:val="20"/>
        </w:rPr>
      </w:pPr>
      <w:r>
        <w:rPr>
          <w:b/>
          <w:sz w:val="20"/>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sz w:val="20"/>
        </w:rPr>
        <w:t>III.</w:t>
        <w:tab/>
        <w:t xml:space="preserve">Definitions. </w:t>
      </w:r>
      <w:r>
        <w:rPr>
          <w:sz w:val="20"/>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sz w:val="20"/>
          <w:u w:val="single"/>
        </w:rPr>
      </w:pPr>
      <w:r>
        <w:rPr>
          <w:b/>
          <w:sz w:val="20"/>
          <w:u w:val="single"/>
        </w:rPr>
      </w:r>
    </w:p>
    <w:p>
      <w:pPr>
        <w:pStyle w:val="Normal"/>
        <w:jc w:val="center"/>
        <w:rPr>
          <w:b/>
          <w:sz w:val="20"/>
          <w:u w:val="single"/>
        </w:rPr>
      </w:pPr>
      <w:r>
        <w:rPr>
          <w:b/>
          <w:sz w:val="20"/>
          <w:u w:val="single"/>
        </w:rPr>
        <w:t>ANNEX B</w:t>
      </w:r>
    </w:p>
    <w:p>
      <w:pPr>
        <w:pStyle w:val="Normal"/>
        <w:jc w:val="center"/>
        <w:rPr>
          <w:b/>
          <w:sz w:val="20"/>
          <w:u w:val="single"/>
        </w:rPr>
      </w:pPr>
      <w:r>
        <w:rPr>
          <w:b/>
          <w:sz w:val="20"/>
          <w:u w:val="single"/>
        </w:rPr>
      </w:r>
    </w:p>
    <w:p>
      <w:pPr>
        <w:pStyle w:val="Normal"/>
        <w:jc w:val="center"/>
        <w:rPr>
          <w:b/>
          <w:sz w:val="20"/>
        </w:rPr>
      </w:pPr>
      <w:r>
        <w:rPr>
          <w:b/>
          <w:sz w:val="20"/>
        </w:rPr>
        <w:t>CREDIT AND OTHER SPECIAL PROVISIONS</w:t>
      </w:r>
    </w:p>
    <w:p>
      <w:pPr>
        <w:pStyle w:val="Normal"/>
        <w:rPr>
          <w:b/>
          <w:sz w:val="20"/>
        </w:rPr>
      </w:pPr>
      <w:r>
        <w:rPr>
          <w:b/>
          <w:sz w:val="20"/>
        </w:rPr>
      </w:r>
    </w:p>
    <w:p>
      <w:pPr>
        <w:pStyle w:val="Normal"/>
        <w:jc w:val="center"/>
        <w:rPr>
          <w:b/>
          <w:sz w:val="20"/>
        </w:rPr>
      </w:pPr>
      <w:r>
        <w:rPr>
          <w:b/>
          <w:sz w:val="20"/>
        </w:rPr>
      </w:r>
    </w:p>
    <w:p>
      <w:pPr>
        <w:pStyle w:val="Normal"/>
        <w:jc w:val="both"/>
        <w:rPr>
          <w:sz w:val="20"/>
        </w:rPr>
      </w:pPr>
      <w:r>
        <w:rPr>
          <w:sz w:val="20"/>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sz w:val="20"/>
        </w:rPr>
        <w:t>1.</w:t>
        <w:tab/>
      </w:r>
      <w:r>
        <w:rPr>
          <w:sz w:val="20"/>
          <w:u w:val="single"/>
        </w:rPr>
        <w:t>Additional Events of Default</w:t>
      </w:r>
      <w:r>
        <w:rPr>
          <w:sz w:val="20"/>
        </w:rPr>
        <w:t>. The following will constitute additional Events of Default for purposes of Section 5(a) of the ISDA Agreement:</w:t>
      </w:r>
    </w:p>
    <w:p>
      <w:pPr>
        <w:pStyle w:val="Normal"/>
        <w:jc w:val="both"/>
        <w:rPr>
          <w:b/>
          <w:sz w:val="20"/>
          <w:u w:val="single"/>
        </w:rPr>
      </w:pPr>
      <w:r>
        <w:rPr>
          <w:b/>
          <w:sz w:val="20"/>
          <w:u w:val="single"/>
        </w:rPr>
      </w:r>
    </w:p>
    <w:p>
      <w:pPr>
        <w:pStyle w:val="Normal"/>
        <w:ind w:hanging="360" w:start="720" w:end="0"/>
        <w:jc w:val="both"/>
        <w:rPr>
          <w:sz w:val="20"/>
        </w:rPr>
      </w:pPr>
      <w:r>
        <w:rPr>
          <w:sz w:val="20"/>
        </w:rPr>
        <w:t>(i)</w:t>
        <w:tab/>
        <w:t>The following Events of Default are added to Section 5(a) of the ISDA Agreement:</w:t>
      </w:r>
    </w:p>
    <w:p>
      <w:pPr>
        <w:pStyle w:val="Normal"/>
        <w:ind w:hanging="720" w:start="720" w:end="0"/>
        <w:jc w:val="both"/>
        <w:rPr>
          <w:sz w:val="20"/>
        </w:rPr>
      </w:pPr>
      <w:r>
        <w:rPr>
          <w:sz w:val="20"/>
        </w:rPr>
      </w:r>
    </w:p>
    <w:p>
      <w:pPr>
        <w:pStyle w:val="Normal"/>
        <w:ind w:hanging="720" w:start="1440" w:end="0"/>
        <w:jc w:val="both"/>
        <w:rPr>
          <w:sz w:val="20"/>
        </w:rPr>
      </w:pPr>
      <w:r>
        <w:rPr>
          <w:sz w:val="20"/>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sz w:val="20"/>
        </w:rPr>
      </w:pPr>
      <w:r>
        <w:rPr>
          <w:sz w:val="20"/>
        </w:rPr>
      </w:r>
    </w:p>
    <w:p>
      <w:pPr>
        <w:pStyle w:val="Normal"/>
        <w:ind w:firstLine="720" w:end="0"/>
        <w:jc w:val="both"/>
        <w:rPr>
          <w:sz w:val="20"/>
        </w:rPr>
      </w:pPr>
      <w:r>
        <w:rPr>
          <w:sz w:val="20"/>
        </w:rPr>
        <w:t>(x)</w:t>
        <w:tab/>
        <w:t>if in any twelve (12) month period the Net Asset Value of Counterparty declines by more than 50 %; or</w:t>
      </w:r>
    </w:p>
    <w:p>
      <w:pPr>
        <w:pStyle w:val="Normal"/>
        <w:numPr>
          <w:ilvl w:val="0"/>
          <w:numId w:val="2"/>
        </w:numPr>
        <w:spacing w:before="120" w:after="0"/>
        <w:jc w:val="both"/>
        <w:rPr>
          <w:sz w:val="20"/>
        </w:rPr>
      </w:pPr>
      <w:r>
        <w:rPr>
          <w:sz w:val="20"/>
        </w:rPr>
        <w:t>if the ratio of Counterparty’s Liabilities to Net Asset Value is more than 10 to 1; or</w:t>
      </w:r>
    </w:p>
    <w:p>
      <w:pPr>
        <w:pStyle w:val="Normal"/>
        <w:spacing w:before="120" w:after="0"/>
        <w:ind w:firstLine="1530" w:start="-810" w:end="0"/>
        <w:jc w:val="both"/>
        <w:rPr>
          <w:sz w:val="20"/>
        </w:rPr>
      </w:pPr>
      <w:r>
        <w:rPr>
          <w:sz w:val="20"/>
        </w:rPr>
        <w:t>(xii)</w:t>
        <w:tab/>
        <w:t>if Counterparty’s Net Asset Value falls below U.S. $50,000,000; or</w:t>
      </w:r>
    </w:p>
    <w:p>
      <w:pPr>
        <w:pStyle w:val="Normal"/>
        <w:spacing w:before="120" w:after="0"/>
        <w:ind w:hanging="720" w:start="1440" w:end="0"/>
        <w:jc w:val="both"/>
        <w:rPr>
          <w:sz w:val="20"/>
        </w:rPr>
      </w:pPr>
      <w:r>
        <w:rPr>
          <w:sz w:val="20"/>
        </w:rPr>
        <w:t>(xiii)</w:t>
        <w:tab/>
        <w:t>if Counterparty’s Manager resigns, is terminated or is otherwise incapacitated for a period exceeding one month; or</w:t>
      </w:r>
    </w:p>
    <w:p>
      <w:pPr>
        <w:pStyle w:val="Normal"/>
        <w:spacing w:before="120" w:after="0"/>
        <w:ind w:hanging="720" w:start="1440" w:end="0"/>
        <w:jc w:val="both"/>
        <w:rPr>
          <w:sz w:val="20"/>
        </w:rPr>
      </w:pPr>
      <w:r>
        <w:rPr>
          <w:sz w:val="20"/>
        </w:rPr>
        <w:t>(xiv)</w:t>
        <w:tab/>
        <w:t>if Counterparty’s Management Agreement is terminated by either the Manager or Counterparty (including breach of the Management Agreement or the Investment Policy).”</w:t>
      </w:r>
    </w:p>
    <w:p>
      <w:pPr>
        <w:pStyle w:val="Normal"/>
        <w:tabs>
          <w:tab w:val="clear" w:pos="720"/>
          <w:tab w:val="left" w:pos="1440" w:leader="none"/>
          <w:tab w:val="left" w:pos="2160" w:leader="none"/>
          <w:tab w:val="left" w:pos="9000" w:leader="none"/>
        </w:tabs>
        <w:spacing w:lineRule="atLeast" w:line="240"/>
        <w:ind w:hanging="720" w:start="1440" w:end="0"/>
        <w:jc w:val="both"/>
        <w:rPr>
          <w:sz w:val="20"/>
        </w:rPr>
      </w:pPr>
      <w:r>
        <w:rPr>
          <w:sz w:val="20"/>
        </w:rPr>
      </w:r>
    </w:p>
    <w:p>
      <w:pPr>
        <w:pStyle w:val="Normal"/>
        <w:ind w:hanging="720" w:start="360" w:end="0"/>
        <w:jc w:val="both"/>
        <w:rPr>
          <w:sz w:val="20"/>
        </w:rPr>
      </w:pPr>
      <w:r>
        <w:rPr>
          <w:sz w:val="20"/>
        </w:rPr>
        <w:tab/>
        <w:t>(ii)</w:t>
        <w:tab/>
        <w:t>Cross Default:</w:t>
      </w:r>
    </w:p>
    <w:p>
      <w:pPr>
        <w:pStyle w:val="Normal"/>
        <w:ind w:hanging="720" w:start="720" w:end="0"/>
        <w:jc w:val="both"/>
        <w:rPr>
          <w:sz w:val="20"/>
        </w:rPr>
      </w:pPr>
      <w:r>
        <w:rPr>
          <w:sz w:val="20"/>
        </w:rPr>
      </w:r>
    </w:p>
    <w:p>
      <w:pPr>
        <w:pStyle w:val="Normal"/>
        <w:ind w:start="720" w:end="0"/>
        <w:jc w:val="both"/>
        <w:rPr/>
      </w:pPr>
      <w:r>
        <w:rPr>
          <w:sz w:val="20"/>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$100,000,000 (or its equivalent in another currency); with respect to ENA's Credit Support Provider, U.S. $100,000,000 (or its equivalent in another currency)</w:t>
      </w:r>
      <w:r>
        <w:rPr>
          <w:color w:val="000000"/>
          <w:sz w:val="20"/>
        </w:rPr>
        <w:t xml:space="preserve">; </w:t>
      </w:r>
      <w:r>
        <w:rPr>
          <w:sz w:val="20"/>
        </w:rPr>
        <w:t xml:space="preserve">and with respect to Party B, U.S. $2,000,000 (or its equivalent in another currency); </w:t>
      </w:r>
      <w:r>
        <w:rPr>
          <w:sz w:val="20"/>
          <w:u w:val="single"/>
        </w:rPr>
        <w:t>provided</w:t>
      </w:r>
      <w:r>
        <w:rPr>
          <w:sz w:val="20"/>
        </w:rPr>
        <w:t xml:space="preserve">, </w:t>
      </w:r>
      <w:r>
        <w:rPr>
          <w:sz w:val="20"/>
          <w:u w:val="single"/>
        </w:rPr>
        <w:t>that,</w:t>
      </w:r>
      <w:r>
        <w:rPr>
          <w:sz w:val="20"/>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sz w:val="20"/>
        </w:rPr>
      </w:pPr>
      <w:r>
        <w:rPr>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sz w:val="20"/>
        </w:rPr>
        <w:t>2.</w:t>
        <w:tab/>
      </w:r>
      <w:r>
        <w:rPr>
          <w:sz w:val="20"/>
          <w:u w:val="single"/>
        </w:rPr>
        <w:t>Additional General Definitions</w:t>
      </w:r>
      <w:r>
        <w:rPr>
          <w:sz w:val="20"/>
        </w:rPr>
        <w:t>.  The following definitions are hereby added to Section 14 of the ISDA Agreement:</w:t>
      </w:r>
    </w:p>
    <w:p>
      <w:pPr>
        <w:pStyle w:val="Normal"/>
        <w:spacing w:lineRule="atLeast" w:line="240"/>
        <w:jc w:val="both"/>
        <w:rPr>
          <w:sz w:val="20"/>
        </w:rPr>
      </w:pPr>
      <w:r>
        <w:rPr>
          <w:sz w:val="20"/>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sz w:val="20"/>
          <w:u w:val="single"/>
        </w:rPr>
      </w:pPr>
      <w:r>
        <w:rPr>
          <w:i/>
          <w:sz w:val="20"/>
        </w:rPr>
        <w:t>"</w:t>
      </w:r>
      <w:r>
        <w:rPr>
          <w:i/>
          <w:sz w:val="20"/>
          <w:u w:val="single"/>
        </w:rPr>
        <w:t>Credit Support Provider</w:t>
      </w:r>
      <w:r>
        <w:rPr>
          <w:i/>
          <w:sz w:val="20"/>
        </w:rPr>
        <w:t>"</w:t>
      </w:r>
      <w:r>
        <w:rPr>
          <w:sz w:val="20"/>
        </w:rPr>
        <w:t xml:space="preserve"> means, with respect to ENA only, Enron Corp.</w:t>
      </w:r>
    </w:p>
    <w:p>
      <w:pPr>
        <w:pStyle w:val="BodyTextIndent"/>
        <w:spacing w:lineRule="atLeast" w:line="240"/>
        <w:ind w:hanging="0" w:start="360" w:end="0"/>
        <w:rPr/>
      </w:pPr>
      <w:r>
        <w:rPr>
          <w:i/>
          <w:color w:val="000000"/>
        </w:rPr>
        <w:t>“</w:t>
      </w:r>
      <w:r>
        <w:rPr>
          <w:i/>
          <w:color w:val="000000"/>
          <w:u w:val="single"/>
        </w:rPr>
        <w:t>Investment Policy</w:t>
      </w:r>
      <w:r>
        <w:rPr>
          <w:i/>
          <w:color w:val="000000"/>
        </w:rPr>
        <w:t>”</w:t>
      </w:r>
      <w:r>
        <w:rPr>
          <w:b/>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sz w:val="20"/>
        </w:rPr>
        <w:t>“</w:t>
      </w:r>
      <w:r>
        <w:rPr>
          <w:i/>
          <w:sz w:val="20"/>
          <w:u w:val="single"/>
        </w:rPr>
        <w:t>Liabilities</w:t>
      </w:r>
      <w:r>
        <w:rPr>
          <w:i/>
          <w:sz w:val="20"/>
        </w:rPr>
        <w:t>”</w:t>
      </w:r>
      <w:r>
        <w:rPr>
          <w:b/>
          <w:sz w:val="20"/>
        </w:rPr>
        <w:t xml:space="preserve"> </w:t>
      </w:r>
      <w:r>
        <w:rPr>
          <w:sz w:val="20"/>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sz w:val="20"/>
        </w:rPr>
        <w:t>“</w:t>
      </w:r>
      <w:r>
        <w:rPr>
          <w:i/>
          <w:sz w:val="20"/>
          <w:u w:val="single"/>
        </w:rPr>
        <w:t>Management Agreement</w:t>
      </w:r>
      <w:r>
        <w:rPr>
          <w:i/>
          <w:sz w:val="20"/>
        </w:rPr>
        <w:t>”</w:t>
      </w:r>
      <w:r>
        <w:rPr>
          <w:b/>
          <w:sz w:val="20"/>
        </w:rPr>
        <w:t xml:space="preserve"> </w:t>
      </w:r>
      <w:r>
        <w:rPr>
          <w:sz w:val="20"/>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color w:val="000000"/>
        </w:rPr>
        <w:t>“</w:t>
      </w:r>
      <w:r>
        <w:rPr>
          <w:i/>
          <w:color w:val="000000"/>
          <w:u w:val="single"/>
        </w:rPr>
        <w:t>Manager</w:t>
      </w:r>
      <w:r>
        <w:rPr>
          <w:i/>
          <w:color w:val="000000"/>
        </w:rPr>
        <w:t>”</w:t>
      </w:r>
      <w:r>
        <w:rPr>
          <w:b/>
          <w:color w:val="000000"/>
        </w:rPr>
        <w:t xml:space="preserve"> </w:t>
      </w:r>
      <w:r>
        <w:rPr>
          <w:color w:val="000000"/>
        </w:rPr>
        <w:t>means Catequil Asset Management, L.P., together with the managing members as of the date of this Agreement of Catequil GP, LLC, the general partner of Catequil Asset Management, L.P.</w:t>
      </w:r>
    </w:p>
    <w:p>
      <w:pPr>
        <w:pStyle w:val="Normal"/>
        <w:jc w:val="both"/>
        <w:rPr>
          <w:color w:val="000000"/>
          <w:sz w:val="20"/>
        </w:rPr>
      </w:pPr>
      <w:r>
        <w:rPr>
          <w:color w:val="000000"/>
          <w:sz w:val="20"/>
        </w:rPr>
      </w:r>
    </w:p>
    <w:p>
      <w:pPr>
        <w:pStyle w:val="Normal"/>
        <w:ind w:start="360" w:end="0"/>
        <w:jc w:val="both"/>
        <w:rPr/>
      </w:pPr>
      <w:r>
        <w:rPr>
          <w:i/>
          <w:sz w:val="20"/>
        </w:rPr>
        <w:t xml:space="preserve"> “</w:t>
      </w:r>
      <w:r>
        <w:rPr>
          <w:i/>
          <w:sz w:val="20"/>
          <w:u w:val="single"/>
        </w:rPr>
        <w:t>Net Asset Value</w:t>
      </w:r>
      <w:r>
        <w:rPr>
          <w:i/>
          <w:sz w:val="20"/>
        </w:rPr>
        <w:t>”</w:t>
      </w:r>
      <w:r>
        <w:rPr>
          <w:b/>
          <w:sz w:val="20"/>
        </w:rPr>
        <w:t xml:space="preserve"> </w:t>
      </w:r>
      <w:r>
        <w:rPr>
          <w:sz w:val="20"/>
        </w:rPr>
        <w:t>means means, as of the relevant date of determination, an amount (expressed in U.S. Dollars) equal to the sum of Counterparty’s total assets minus Counterparty’s total liabilities.</w:t>
      </w:r>
    </w:p>
    <w:p>
      <w:pPr>
        <w:pStyle w:val="Normal"/>
        <w:ind w:start="360" w:end="0"/>
        <w:jc w:val="both"/>
        <w:rPr>
          <w:i/>
          <w:i/>
          <w:sz w:val="20"/>
        </w:rPr>
      </w:pPr>
      <w:r>
        <w:rPr>
          <w:i/>
          <w:sz w:val="20"/>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sz w:val="20"/>
          <w:u w:val="single"/>
        </w:rPr>
      </w:pPr>
      <w:r>
        <w:rPr>
          <w:sz w:val="20"/>
        </w:rPr>
        <w:t>3.</w:t>
        <w:tab/>
      </w:r>
      <w:r>
        <w:rPr>
          <w:sz w:val="20"/>
          <w:u w:val="single"/>
        </w:rPr>
        <w:t>Credit Support Documents</w:t>
      </w:r>
      <w:r>
        <w:rPr>
          <w:sz w:val="20"/>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sz w:val="20"/>
          <w:u w:val="single"/>
        </w:rPr>
      </w:pPr>
      <w:r>
        <w:rPr>
          <w:b/>
          <w:sz w:val="20"/>
          <w:u w:val="single"/>
        </w:rPr>
      </w:r>
    </w:p>
    <w:p>
      <w:pPr>
        <w:pStyle w:val="Normal"/>
        <w:ind w:start="360" w:end="0"/>
        <w:jc w:val="both"/>
        <w:rPr/>
      </w:pPr>
      <w:r>
        <w:rPr>
          <w:sz w:val="20"/>
        </w:rPr>
        <w:t>"</w:t>
      </w:r>
      <w:r>
        <w:rPr>
          <w:sz w:val="20"/>
          <w:u w:val="single"/>
        </w:rPr>
        <w:t>Credit Support Documents - Collateral Annex</w:t>
      </w:r>
      <w:r>
        <w:rPr>
          <w:sz w:val="20"/>
        </w:rPr>
        <w:t>.  Counterparty and ENA shall establish, maintain, renew, substitute and increase Performance Assurance as (and only to the extent) required by Annex B-1, which shall be a Credit Support Document."</w:t>
      </w:r>
    </w:p>
    <w:p>
      <w:pPr>
        <w:pStyle w:val="Normal"/>
        <w:jc w:val="both"/>
        <w:rPr>
          <w:sz w:val="20"/>
        </w:rPr>
      </w:pPr>
      <w:r>
        <w:rPr>
          <w:sz w:val="20"/>
        </w:rPr>
      </w:r>
    </w:p>
    <w:p>
      <w:pPr>
        <w:pStyle w:val="Normal"/>
        <w:ind w:start="360" w:end="0"/>
        <w:jc w:val="both"/>
        <w:rPr/>
      </w:pPr>
      <w:r>
        <w:rPr>
          <w:sz w:val="20"/>
        </w:rPr>
        <w:t>"</w:t>
      </w:r>
      <w:r>
        <w:rPr>
          <w:sz w:val="20"/>
          <w:u w:val="single"/>
        </w:rPr>
        <w:t>Credit Support Documents - Guaranty</w:t>
      </w:r>
      <w:r>
        <w:rPr>
          <w:sz w:val="20"/>
        </w:rPr>
        <w:t>.  Within ten (10) Business Days of the date of this Confirmation, ENA shall cause to be delivered to Counterparty the duly executed guaranty (</w:t>
      </w:r>
      <w:r>
        <w:rPr>
          <w:i/>
          <w:sz w:val="20"/>
        </w:rPr>
        <w:t>"</w:t>
      </w:r>
      <w:r>
        <w:rPr>
          <w:i/>
          <w:sz w:val="20"/>
          <w:u w:val="single"/>
        </w:rPr>
        <w:t>Guaranty</w:t>
      </w:r>
      <w:r>
        <w:rPr>
          <w:i/>
          <w:sz w:val="20"/>
        </w:rPr>
        <w:t>"</w:t>
      </w:r>
      <w:r>
        <w:rPr>
          <w:sz w:val="20"/>
        </w:rPr>
        <w:t>) from its Credit Support Provider in favor of Counterparty in the form attached as Annex B-2, which shall be a Credit Support Document."</w:t>
      </w:r>
    </w:p>
    <w:p>
      <w:pPr>
        <w:pStyle w:val="Normal"/>
        <w:jc w:val="both"/>
        <w:rPr>
          <w:sz w:val="20"/>
        </w:rPr>
      </w:pPr>
      <w:r>
        <w:rPr>
          <w:sz w:val="20"/>
        </w:rPr>
      </w:r>
    </w:p>
    <w:p>
      <w:pPr>
        <w:pStyle w:val="Normal"/>
        <w:jc w:val="both"/>
        <w:rPr/>
      </w:pPr>
      <w:r>
        <w:rPr>
          <w:sz w:val="20"/>
        </w:rPr>
        <w:t>4.</w:t>
        <w:tab/>
      </w:r>
      <w:r>
        <w:rPr>
          <w:sz w:val="20"/>
          <w:u w:val="single"/>
        </w:rPr>
        <w:t>Financial Information</w:t>
      </w:r>
      <w:r>
        <w:rPr>
          <w:sz w:val="20"/>
        </w:rPr>
        <w:t>.</w:t>
      </w:r>
    </w:p>
    <w:p>
      <w:pPr>
        <w:pStyle w:val="Normal"/>
        <w:ind w:hanging="720" w:start="720" w:end="0"/>
        <w:jc w:val="both"/>
        <w:rPr>
          <w:b/>
          <w:sz w:val="20"/>
        </w:rPr>
      </w:pPr>
      <w:r>
        <w:rPr>
          <w:b/>
          <w:sz w:val="20"/>
        </w:rPr>
      </w:r>
    </w:p>
    <w:p>
      <w:pPr>
        <w:pStyle w:val="Normal"/>
        <w:jc w:val="both"/>
        <w:rPr>
          <w:sz w:val="20"/>
        </w:rPr>
      </w:pPr>
      <w:r>
        <w:rPr>
          <w:sz w:val="20"/>
        </w:rPr>
        <w:tab/>
        <w:t>The following documents are hereby required to be delivered pursuant to Section 4(a) of the ISDA Agreement:</w:t>
      </w:r>
    </w:p>
    <w:p>
      <w:pPr>
        <w:pStyle w:val="Normal"/>
        <w:jc w:val="both"/>
        <w:rPr>
          <w:sz w:val="20"/>
        </w:rPr>
      </w:pPr>
      <w:r>
        <w:rPr>
          <w:sz w:val="20"/>
        </w:rPr>
      </w:r>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sz w:val="20"/>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sz w:val="20"/>
        </w:rPr>
        <w:t>"</w:t>
      </w:r>
      <w:r>
        <w:rPr>
          <w:i/>
          <w:sz w:val="20"/>
          <w:u w:val="single"/>
        </w:rPr>
        <w:t>GAAP</w:t>
      </w:r>
      <w:r>
        <w:rPr>
          <w:i/>
          <w:sz w:val="20"/>
        </w:rPr>
        <w:t>"</w:t>
      </w:r>
      <w:r>
        <w:rPr>
          <w:sz w:val="20"/>
        </w:rPr>
        <w:t xml:space="preserve">), and further with respect to ENA, only if Enron Corp.’s annual consolidated financial statements are not available on “EDGAR” or Enron Corp.’s home page on the World Wide Web at www.enron.com;  (ii)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5">
        <w:r>
          <w:rPr>
            <w:rStyle w:val="Hyperlink"/>
            <w:sz w:val="20"/>
          </w:rPr>
          <w:t>www.enron.com</w:t>
        </w:r>
      </w:hyperlink>
      <w:r>
        <w:rPr>
          <w:sz w:val="20"/>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sz w:val="20"/>
        </w:rPr>
      </w:pPr>
      <w:r>
        <w:rPr>
          <w:b/>
          <w:sz w:val="20"/>
          <w:u w:val="single"/>
        </w:rPr>
        <w:t>ANNEX B-1</w:t>
      </w:r>
    </w:p>
    <w:p>
      <w:pPr>
        <w:pStyle w:val="Normal"/>
        <w:jc w:val="center"/>
        <w:rPr>
          <w:sz w:val="20"/>
        </w:rPr>
      </w:pPr>
      <w:r>
        <w:rPr>
          <w:b/>
          <w:sz w:val="20"/>
          <w:u w:val="single"/>
        </w:rPr>
        <w:t>COLLATERAL AND EXPOSURE PROVISIONS</w:t>
      </w:r>
    </w:p>
    <w:p>
      <w:pPr>
        <w:pStyle w:val="Normal"/>
        <w:jc w:val="center"/>
        <w:rPr>
          <w:sz w:val="20"/>
        </w:rPr>
      </w:pPr>
      <w:r>
        <w:rPr>
          <w:sz w:val="20"/>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sz w:val="20"/>
        </w:rPr>
      </w:pPr>
      <w:r>
        <w:rPr>
          <w:sz w:val="20"/>
        </w:rPr>
      </w:r>
    </w:p>
    <w:p>
      <w:pPr>
        <w:pStyle w:val="Normal"/>
        <w:jc w:val="both"/>
        <w:rPr>
          <w:sz w:val="20"/>
        </w:rPr>
      </w:pPr>
      <w:r>
        <w:rPr>
          <w:sz w:val="20"/>
        </w:rPr>
      </w:r>
    </w:p>
    <w:p>
      <w:pPr>
        <w:pStyle w:val="Normal"/>
        <w:jc w:val="both"/>
        <w:rPr/>
      </w:pPr>
      <w:r>
        <w:rPr>
          <w:sz w:val="20"/>
        </w:rPr>
        <w:tab/>
        <w:t xml:space="preserve">1.  </w:t>
      </w:r>
      <w:r>
        <w:rPr>
          <w:sz w:val="20"/>
          <w:u w:val="single"/>
        </w:rPr>
        <w:t>Certain Definitions</w:t>
      </w:r>
      <w:r>
        <w:rPr>
          <w:sz w:val="20"/>
        </w:rPr>
        <w:t>.  As used herein:</w:t>
      </w:r>
    </w:p>
    <w:p>
      <w:pPr>
        <w:pStyle w:val="Normal"/>
        <w:jc w:val="both"/>
        <w:rPr>
          <w:sz w:val="20"/>
        </w:rPr>
      </w:pPr>
      <w:r>
        <w:rPr>
          <w:sz w:val="20"/>
        </w:rPr>
      </w:r>
    </w:p>
    <w:p>
      <w:pPr>
        <w:pStyle w:val="Normal"/>
        <w:tabs>
          <w:tab w:val="left" w:pos="720" w:leader="none"/>
        </w:tabs>
        <w:ind w:hanging="1440" w:start="1440" w:end="0"/>
        <w:jc w:val="both"/>
        <w:rPr/>
      </w:pPr>
      <w:r>
        <w:rPr>
          <w:i/>
          <w:sz w:val="20"/>
        </w:rPr>
        <w:tab/>
      </w:r>
      <w:r>
        <w:rPr>
          <w:sz w:val="20"/>
        </w:rPr>
        <w:t>(a)</w:t>
        <w:tab/>
      </w:r>
      <w:r>
        <w:rPr>
          <w:i/>
          <w:sz w:val="20"/>
        </w:rPr>
        <w:t>"</w:t>
      </w:r>
      <w:r>
        <w:rPr>
          <w:i/>
          <w:sz w:val="20"/>
          <w:u w:val="single"/>
        </w:rPr>
        <w:t>Additional Amount</w:t>
      </w:r>
      <w:r>
        <w:rPr>
          <w:i/>
          <w:sz w:val="20"/>
        </w:rPr>
        <w:t>"</w:t>
      </w:r>
      <w:r>
        <w:rPr>
          <w:sz w:val="20"/>
        </w:rPr>
        <w:t xml:space="preserve"> shall mean, with respect to ENA, the amount specified as such for ENA in each Confirmation, or if no amount is specified, zero and means with respect to Counterparty, the amount calculated as follows: on any Business Day, ENA shall have the right to adjust the Independent Amount due from Counterparty due to changes in the volatility of relevant markets or of Counterparty’s portfolio of transactions with ENA (“Counterparty’s Portfolio”).  ENA will calculate such Independent Amount based on its internal Value at Risk (“VAR”) calculation for up to ten (10) days of VAR with respect to Counterparty’s Portfolio, provided, however, that in no event shall Counterparty’s Additional Amount be less than $250,000 if there are any outstanding transactions.</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(b)</w:t>
        <w:tab/>
        <w:t>“</w:t>
      </w:r>
      <w:r>
        <w:rPr>
          <w:i/>
          <w:sz w:val="20"/>
          <w:u w:val="single"/>
        </w:rPr>
        <w:t>Business Day</w:t>
      </w:r>
      <w:r>
        <w:rPr>
          <w:sz w:val="20"/>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sz w:val="20"/>
        </w:rPr>
      </w:pPr>
      <w:r>
        <w:rPr>
          <w:sz w:val="20"/>
        </w:rPr>
        <w:t xml:space="preserve"> </w:t>
      </w:r>
    </w:p>
    <w:p>
      <w:pPr>
        <w:pStyle w:val="Normal"/>
        <w:tabs>
          <w:tab w:val="left" w:pos="720" w:leader="none"/>
        </w:tabs>
        <w:ind w:hanging="1440" w:start="1440" w:end="0"/>
        <w:jc w:val="both"/>
        <w:rPr/>
      </w:pPr>
      <w:r>
        <w:rPr>
          <w:sz w:val="20"/>
        </w:rPr>
        <w:tab/>
        <w:t>(c)</w:t>
        <w:tab/>
        <w:t xml:space="preserve">The </w:t>
      </w:r>
      <w:r>
        <w:rPr>
          <w:i/>
          <w:sz w:val="20"/>
        </w:rPr>
        <w:t>"</w:t>
      </w:r>
      <w:r>
        <w:rPr>
          <w:i/>
          <w:sz w:val="20"/>
          <w:u w:val="single"/>
        </w:rPr>
        <w:t>Collateral Requirement</w:t>
      </w:r>
      <w:r>
        <w:rPr>
          <w:i/>
          <w:sz w:val="20"/>
        </w:rPr>
        <w:t>"</w:t>
      </w:r>
      <w:r>
        <w:rPr>
          <w:sz w:val="20"/>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4(d)(ii) of this Annex.</w:t>
      </w:r>
    </w:p>
    <w:p>
      <w:pPr>
        <w:pStyle w:val="Normal"/>
        <w:jc w:val="both"/>
        <w:rPr>
          <w:sz w:val="20"/>
        </w:rPr>
      </w:pPr>
      <w:r>
        <w:rPr>
          <w:sz w:val="20"/>
        </w:rPr>
      </w:r>
    </w:p>
    <w:p>
      <w:pPr>
        <w:pStyle w:val="Normal"/>
        <w:tabs>
          <w:tab w:val="left" w:pos="720" w:leader="none"/>
        </w:tabs>
        <w:ind w:hanging="1440" w:start="1440" w:end="0"/>
        <w:jc w:val="both"/>
        <w:rPr/>
      </w:pPr>
      <w:r>
        <w:rPr>
          <w:sz w:val="20"/>
        </w:rPr>
        <w:tab/>
        <w:t>(d)</w:t>
        <w:tab/>
        <w:t xml:space="preserve">The </w:t>
      </w:r>
      <w:r>
        <w:rPr>
          <w:i/>
          <w:sz w:val="20"/>
        </w:rPr>
        <w:t>"</w:t>
      </w:r>
      <w:r>
        <w:rPr>
          <w:i/>
          <w:sz w:val="20"/>
          <w:u w:val="single"/>
        </w:rPr>
        <w:t>Current Value</w:t>
      </w:r>
      <w:r>
        <w:rPr>
          <w:i/>
          <w:sz w:val="20"/>
        </w:rPr>
        <w:t>"</w:t>
      </w:r>
      <w:r>
        <w:rPr>
          <w:sz w:val="20"/>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sz w:val="20"/>
        </w:rPr>
        <w:tab/>
        <w:t>(e)</w:t>
        <w:tab/>
      </w:r>
      <w:r>
        <w:rPr>
          <w:i/>
          <w:sz w:val="20"/>
        </w:rPr>
        <w:t>"</w:t>
      </w:r>
      <w:r>
        <w:rPr>
          <w:i/>
          <w:sz w:val="20"/>
          <w:u w:val="single"/>
        </w:rPr>
        <w:t>Exposure</w:t>
      </w:r>
      <w:r>
        <w:rPr>
          <w:i/>
          <w:sz w:val="20"/>
        </w:rPr>
        <w:t>"</w:t>
      </w:r>
      <w:r>
        <w:rPr>
          <w:sz w:val="20"/>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sz w:val="20"/>
        </w:rPr>
      </w:pPr>
      <w:r>
        <w:rPr>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sz w:val="20"/>
        </w:rPr>
      </w:pPr>
      <w:r>
        <w:rPr>
          <w:sz w:val="20"/>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sz w:val="20"/>
        </w:rPr>
        <w:t>(f)</w:t>
        <w:tab/>
      </w:r>
      <w:r>
        <w:rPr>
          <w:i/>
          <w:sz w:val="20"/>
        </w:rPr>
        <w:t>"</w:t>
      </w:r>
      <w:r>
        <w:rPr>
          <w:i/>
          <w:sz w:val="20"/>
          <w:u w:val="single"/>
        </w:rPr>
        <w:t>Exposure Threshold</w:t>
      </w:r>
      <w:r>
        <w:rPr>
          <w:i/>
          <w:sz w:val="20"/>
        </w:rPr>
        <w:t>"</w:t>
      </w:r>
      <w:r>
        <w:rPr>
          <w:sz w:val="20"/>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(g)</w:t>
        <w:tab/>
      </w:r>
      <w:r>
        <w:rPr>
          <w:i/>
          <w:sz w:val="20"/>
        </w:rPr>
        <w:t>"</w:t>
      </w:r>
      <w:r>
        <w:rPr>
          <w:i/>
          <w:sz w:val="20"/>
          <w:u w:val="single"/>
        </w:rPr>
        <w:t>Exposure Amount</w:t>
      </w:r>
      <w:r>
        <w:rPr>
          <w:i/>
          <w:sz w:val="20"/>
        </w:rPr>
        <w:t>"</w:t>
      </w:r>
      <w:r>
        <w:rPr>
          <w:sz w:val="20"/>
        </w:rPr>
        <w:t xml:space="preserve"> for each party shall be calculated for all Swaps by calculating each party's Exposure to the other party in respect of all Swaps.  The party having the greater Exposure Amount at any time (the </w:t>
      </w:r>
      <w:r>
        <w:rPr>
          <w:i/>
          <w:sz w:val="20"/>
        </w:rPr>
        <w:t>"</w:t>
      </w:r>
      <w:r>
        <w:rPr>
          <w:i/>
          <w:sz w:val="20"/>
          <w:u w:val="single"/>
        </w:rPr>
        <w:t>Exposed Party</w:t>
      </w:r>
      <w:r>
        <w:rPr>
          <w:i/>
          <w:sz w:val="20"/>
        </w:rPr>
        <w:t>"</w:t>
      </w:r>
      <w:r>
        <w:rPr>
          <w:sz w:val="20"/>
        </w:rPr>
        <w:t xml:space="preserve">) shall be deemed to have a "Net Exposure" to the other party (the </w:t>
      </w:r>
      <w:r>
        <w:rPr>
          <w:i/>
          <w:sz w:val="20"/>
        </w:rPr>
        <w:t>"</w:t>
      </w:r>
      <w:r>
        <w:rPr>
          <w:i/>
          <w:sz w:val="20"/>
          <w:u w:val="single"/>
        </w:rPr>
        <w:t>Non-Exposed Party</w:t>
      </w:r>
      <w:r>
        <w:rPr>
          <w:i/>
          <w:sz w:val="20"/>
        </w:rPr>
        <w:t>"</w:t>
      </w:r>
      <w:r>
        <w:rPr>
          <w:sz w:val="20"/>
        </w:rPr>
        <w:t>) equal to the difference between its Exposure Amount and the other party's Exposure Amount.</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(h)</w:t>
        <w:tab/>
        <w:t>"</w:t>
      </w:r>
      <w:r>
        <w:rPr>
          <w:i/>
          <w:sz w:val="20"/>
          <w:u w:val="single"/>
        </w:rPr>
        <w:t>Interest Amount</w:t>
      </w:r>
      <w:r>
        <w:rPr>
          <w:sz w:val="20"/>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sz w:val="20"/>
          <w:u w:val="single"/>
        </w:rPr>
        <w:t>Interest Period</w:t>
      </w:r>
      <w:r>
        <w:rPr>
          <w:sz w:val="20"/>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sz w:val="20"/>
          <w:u w:val="single"/>
        </w:rPr>
        <w:t>Interest Rate</w:t>
      </w:r>
      <w:r>
        <w:rPr>
          <w:sz w:val="20"/>
        </w:rPr>
        <w:t>" shall be the Federal Funds Overnight Rate as from time to time in effect.  "</w:t>
      </w:r>
      <w:r>
        <w:rPr>
          <w:i/>
          <w:sz w:val="20"/>
          <w:u w:val="single"/>
        </w:rPr>
        <w:t>Federal Funds Overnight Rate</w:t>
      </w:r>
      <w:r>
        <w:rPr>
          <w:sz w:val="20"/>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sz w:val="20"/>
        </w:rPr>
      </w:pPr>
      <w:r>
        <w:rPr>
          <w:sz w:val="20"/>
        </w:rPr>
      </w:r>
    </w:p>
    <w:p>
      <w:pPr>
        <w:pStyle w:val="Normal"/>
        <w:ind w:hanging="720" w:start="1440" w:end="0"/>
        <w:jc w:val="both"/>
        <w:rPr/>
      </w:pPr>
      <w:r>
        <w:rPr>
          <w:sz w:val="20"/>
        </w:rPr>
        <w:t>(i)</w:t>
        <w:tab/>
        <w:t>"</w:t>
      </w:r>
      <w:r>
        <w:rPr>
          <w:i/>
          <w:sz w:val="20"/>
          <w:u w:val="single"/>
        </w:rPr>
        <w:t>Performance Assurance</w:t>
      </w:r>
      <w:r>
        <w:rPr>
          <w:sz w:val="20"/>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4 of this Annex; and (iii) all proceeds of all of the foregoing property that have been Transferred to or received by the Exposed Party hereunder.</w:t>
      </w:r>
    </w:p>
    <w:p>
      <w:pPr>
        <w:pStyle w:val="Normal"/>
        <w:tabs>
          <w:tab w:val="left" w:pos="720" w:leader="none"/>
        </w:tabs>
        <w:ind w:hanging="1440" w:start="1440" w:end="0"/>
        <w:jc w:val="both"/>
        <w:rPr>
          <w:sz w:val="20"/>
        </w:rPr>
      </w:pPr>
      <w:r>
        <w:rPr>
          <w:sz w:val="20"/>
        </w:rPr>
      </w:r>
    </w:p>
    <w:p>
      <w:pPr>
        <w:pStyle w:val="Normal"/>
        <w:tabs>
          <w:tab w:val="left" w:pos="720" w:leader="none"/>
        </w:tabs>
        <w:ind w:hanging="1440" w:start="1440" w:end="0"/>
        <w:jc w:val="both"/>
        <w:rPr/>
      </w:pPr>
      <w:r>
        <w:rPr>
          <w:sz w:val="20"/>
        </w:rPr>
        <w:tab/>
        <w:t>(j)</w:t>
        <w:tab/>
      </w:r>
      <w:r>
        <w:rPr>
          <w:i/>
          <w:sz w:val="20"/>
        </w:rPr>
        <w:t>"</w:t>
      </w:r>
      <w:r>
        <w:rPr>
          <w:i/>
          <w:sz w:val="20"/>
          <w:u w:val="single"/>
        </w:rPr>
        <w:t>Swaps</w:t>
      </w:r>
      <w:r>
        <w:rPr>
          <w:i/>
          <w:sz w:val="20"/>
        </w:rPr>
        <w:t>"</w:t>
      </w:r>
      <w:r>
        <w:rPr>
          <w:sz w:val="20"/>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sz w:val="20"/>
          <w:u w:val="single"/>
        </w:rPr>
        <w:t>Swap</w:t>
      </w:r>
      <w:r>
        <w:rPr>
          <w:sz w:val="20"/>
        </w:rPr>
        <w:t>" shall mean any of the Swaps.</w:t>
      </w:r>
    </w:p>
    <w:p>
      <w:pPr>
        <w:pStyle w:val="Normal"/>
        <w:spacing w:before="240" w:after="0"/>
        <w:ind w:hanging="720" w:start="1440" w:end="0"/>
        <w:jc w:val="both"/>
        <w:rPr/>
      </w:pPr>
      <w:r>
        <w:rPr>
          <w:sz w:val="20"/>
        </w:rPr>
        <w:t>(k)</w:t>
        <w:tab/>
      </w:r>
      <w:r>
        <w:rPr>
          <w:i/>
          <w:sz w:val="20"/>
        </w:rPr>
        <w:t>"</w:t>
      </w:r>
      <w:r>
        <w:rPr>
          <w:i/>
          <w:sz w:val="20"/>
          <w:u w:val="single"/>
        </w:rPr>
        <w:t>Transfer</w:t>
      </w:r>
      <w:r>
        <w:rPr>
          <w:i/>
          <w:sz w:val="20"/>
        </w:rPr>
        <w:t>"</w:t>
      </w:r>
      <w:r>
        <w:rPr>
          <w:sz w:val="20"/>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sz w:val="20"/>
        </w:rPr>
      </w:pPr>
      <w:r>
        <w:rPr>
          <w:i/>
          <w:sz w:val="20"/>
        </w:rPr>
      </w:r>
    </w:p>
    <w:p>
      <w:pPr>
        <w:pStyle w:val="Normal"/>
        <w:tabs>
          <w:tab w:val="left" w:pos="720" w:leader="none"/>
        </w:tabs>
        <w:ind w:hanging="1440" w:start="1440" w:end="0"/>
        <w:jc w:val="both"/>
        <w:rPr>
          <w:sz w:val="20"/>
        </w:rPr>
      </w:pPr>
      <w:r>
        <w:rPr>
          <w:sz w:val="20"/>
        </w:rPr>
        <w:tab/>
        <w:t>(l)</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sz w:val="20"/>
        </w:rPr>
      </w:pPr>
      <w:r>
        <w:rPr>
          <w:sz w:val="20"/>
        </w:rPr>
      </w:r>
    </w:p>
    <w:p>
      <w:pPr>
        <w:pStyle w:val="Normal"/>
        <w:jc w:val="both"/>
        <w:rPr/>
      </w:pPr>
      <w:r>
        <w:rPr>
          <w:sz w:val="20"/>
        </w:rPr>
        <w:tab/>
        <w:t xml:space="preserve">2.  </w:t>
      </w:r>
      <w:r>
        <w:rPr>
          <w:sz w:val="20"/>
          <w:u w:val="single"/>
        </w:rPr>
        <w:t>Performance Assurance</w:t>
      </w:r>
      <w:r>
        <w:rPr>
          <w:sz w:val="20"/>
        </w:rPr>
        <w:t>.</w:t>
      </w:r>
    </w:p>
    <w:p>
      <w:pPr>
        <w:pStyle w:val="Normal"/>
        <w:jc w:val="both"/>
        <w:rPr>
          <w:sz w:val="20"/>
        </w:rPr>
      </w:pPr>
      <w:r>
        <w:rPr>
          <w:sz w:val="20"/>
        </w:rPr>
      </w:r>
    </w:p>
    <w:p>
      <w:pPr>
        <w:pStyle w:val="Normal"/>
        <w:ind w:hanging="720" w:start="1440" w:end="0"/>
        <w:jc w:val="both"/>
        <w:rPr>
          <w:b/>
          <w:sz w:val="20"/>
        </w:rPr>
      </w:pPr>
      <w:r>
        <w:rPr>
          <w:sz w:val="20"/>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sz w:val="20"/>
        </w:rPr>
      </w:pPr>
      <w:r>
        <w:rPr>
          <w:color w:val="000000"/>
          <w:sz w:val="20"/>
        </w:rPr>
      </w:r>
    </w:p>
    <w:p>
      <w:pPr>
        <w:pStyle w:val="Normal"/>
        <w:ind w:start="720" w:end="0"/>
        <w:jc w:val="both"/>
        <w:rPr/>
      </w:pPr>
      <w:r>
        <w:rPr>
          <w:sz w:val="20"/>
        </w:rPr>
        <w:t xml:space="preserve">3.  </w:t>
      </w:r>
      <w:r>
        <w:rPr>
          <w:sz w:val="20"/>
          <w:u w:val="single"/>
        </w:rPr>
        <w:t>Cash Collateral</w:t>
      </w:r>
      <w:r>
        <w:rPr>
          <w:sz w:val="20"/>
        </w:rPr>
        <w:t>.  Performance Assurance in the form of United States Dollars (“Cash”) shall be subject to the following provisions:</w:t>
      </w:r>
    </w:p>
    <w:p>
      <w:pPr>
        <w:pStyle w:val="Normal"/>
        <w:jc w:val="both"/>
        <w:rPr>
          <w:sz w:val="20"/>
        </w:rPr>
      </w:pPr>
      <w:r>
        <w:rPr>
          <w:sz w:val="20"/>
        </w:rPr>
      </w:r>
    </w:p>
    <w:p>
      <w:pPr>
        <w:pStyle w:val="Normal"/>
        <w:tabs>
          <w:tab w:val="left" w:pos="720" w:leader="none"/>
        </w:tabs>
        <w:ind w:hanging="720" w:start="1440" w:end="0"/>
        <w:jc w:val="both"/>
        <w:rPr>
          <w:sz w:val="20"/>
        </w:rPr>
      </w:pPr>
      <w:r>
        <w:rPr>
          <w:sz w:val="20"/>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sz w:val="20"/>
        </w:rPr>
      </w:pPr>
      <w:r>
        <w:rPr>
          <w:sz w:val="20"/>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sz w:val="20"/>
        </w:rPr>
      </w:pPr>
      <w:r>
        <w:rPr>
          <w:sz w:val="20"/>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jc w:val="both"/>
        <w:rPr>
          <w:sz w:val="20"/>
        </w:rPr>
      </w:pPr>
      <w:r>
        <w:rPr>
          <w:sz w:val="20"/>
        </w:rPr>
      </w:r>
    </w:p>
    <w:p>
      <w:pPr>
        <w:pStyle w:val="Normal"/>
        <w:jc w:val="both"/>
        <w:rPr/>
      </w:pPr>
      <w:r>
        <w:rPr>
          <w:sz w:val="20"/>
        </w:rPr>
        <w:tab/>
        <w:t xml:space="preserve">4.  </w:t>
      </w:r>
      <w:r>
        <w:rPr>
          <w:sz w:val="20"/>
          <w:u w:val="single"/>
        </w:rPr>
        <w:t>Additional Representation</w:t>
      </w:r>
      <w:r>
        <w:rPr>
          <w:sz w:val="20"/>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sz w:val="20"/>
        </w:rPr>
        <w:tab/>
        <w:tab/>
        <w:t xml:space="preserve">5.  </w:t>
      </w:r>
      <w:r>
        <w:rPr>
          <w:sz w:val="20"/>
          <w:u w:val="single"/>
        </w:rPr>
        <w:t>Exposed Party’s Rights and Remedies</w:t>
      </w:r>
      <w:r>
        <w:rPr>
          <w:sz w:val="20"/>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sz w:val="20"/>
        </w:rPr>
        <w:tab/>
        <w:tab/>
        <w:t xml:space="preserve">6.  </w:t>
      </w:r>
      <w:r>
        <w:rPr>
          <w:sz w:val="20"/>
          <w:u w:val="single"/>
        </w:rPr>
        <w:t>Security Interest</w:t>
      </w:r>
      <w:r>
        <w:rPr>
          <w:sz w:val="20"/>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sz w:val="20"/>
        </w:rPr>
        <w:t xml:space="preserve">7.  </w:t>
      </w:r>
      <w:r>
        <w:rPr>
          <w:sz w:val="20"/>
          <w:u w:val="single"/>
        </w:rPr>
        <w:t>General.</w:t>
      </w:r>
    </w:p>
    <w:p>
      <w:pPr>
        <w:pStyle w:val="Normal"/>
        <w:spacing w:before="240" w:after="0"/>
        <w:ind w:hanging="720" w:start="1440" w:end="0"/>
        <w:jc w:val="both"/>
        <w:rPr>
          <w:sz w:val="20"/>
        </w:rPr>
      </w:pPr>
      <w:r>
        <w:rPr>
          <w:sz w:val="20"/>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sz w:val="20"/>
        </w:rPr>
      </w:pPr>
      <w:r>
        <w:rPr>
          <w:sz w:val="20"/>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sz w:val="20"/>
        </w:rPr>
      </w:pPr>
      <w:r>
        <w:rPr>
          <w:sz w:val="20"/>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pStyle w:val="Normal"/>
        <w:spacing w:before="240" w:after="0"/>
        <w:ind w:hanging="720" w:start="1440" w:end="0"/>
        <w:jc w:val="both"/>
        <w:rPr>
          <w:sz w:val="20"/>
        </w:rPr>
      </w:pPr>
      <w:r>
        <w:rPr>
          <w:sz w:val="20"/>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pStyle w:val="Normal"/>
        <w:ind w:end="180"/>
        <w:jc w:val="center"/>
        <w:rPr>
          <w:b/>
          <w:sz w:val="20"/>
        </w:rPr>
      </w:pPr>
      <w:r>
        <w:rPr>
          <w:b/>
          <w:sz w:val="20"/>
          <w:u w:val="single"/>
        </w:rPr>
        <w:t>ANNEX B-2</w:t>
      </w:r>
    </w:p>
    <w:p>
      <w:pPr>
        <w:pStyle w:val="Normal"/>
        <w:ind w:end="180"/>
        <w:jc w:val="center"/>
        <w:rPr>
          <w:b/>
          <w:sz w:val="20"/>
        </w:rPr>
      </w:pPr>
      <w:r>
        <w:rPr>
          <w:b/>
          <w:sz w:val="20"/>
        </w:rPr>
      </w:r>
    </w:p>
    <w:p>
      <w:pPr>
        <w:pStyle w:val="Normal"/>
        <w:ind w:end="180"/>
        <w:jc w:val="center"/>
        <w:rPr>
          <w:b/>
          <w:sz w:val="20"/>
        </w:rPr>
      </w:pPr>
      <w:r>
        <w:rPr>
          <w:b/>
          <w:sz w:val="20"/>
        </w:rPr>
        <w:t>ENRON CORP.</w:t>
      </w:r>
    </w:p>
    <w:p>
      <w:pPr>
        <w:pStyle w:val="Normal"/>
        <w:spacing w:lineRule="exact" w:line="240"/>
        <w:ind w:end="180"/>
        <w:jc w:val="center"/>
        <w:rPr>
          <w:b/>
          <w:sz w:val="20"/>
          <w:u w:val="single"/>
        </w:rPr>
      </w:pPr>
      <w:r>
        <w:rPr>
          <w:b/>
          <w:sz w:val="20"/>
          <w:u w:val="single"/>
        </w:rPr>
      </w:r>
    </w:p>
    <w:p>
      <w:pPr>
        <w:pStyle w:val="Normal"/>
        <w:spacing w:lineRule="exact" w:line="240"/>
        <w:ind w:end="180"/>
        <w:jc w:val="center"/>
        <w:rPr>
          <w:sz w:val="20"/>
        </w:rPr>
      </w:pPr>
      <w:r>
        <w:rPr>
          <w:sz w:val="20"/>
          <w:u w:val="single"/>
        </w:rPr>
        <w:t>Guaranty</w:t>
      </w:r>
    </w:p>
    <w:p>
      <w:pPr>
        <w:pStyle w:val="Normal"/>
        <w:spacing w:lineRule="exact" w:line="480"/>
        <w:jc w:val="both"/>
        <w:rPr>
          <w:sz w:val="20"/>
        </w:rPr>
      </w:pPr>
      <w:r>
        <w:rPr>
          <w:sz w:val="20"/>
        </w:rPr>
      </w:r>
    </w:p>
    <w:p>
      <w:pPr>
        <w:pStyle w:val="Normal"/>
        <w:spacing w:lineRule="atLeast" w:line="240"/>
        <w:ind w:firstLine="720" w:end="0"/>
        <w:jc w:val="both"/>
        <w:rPr/>
      </w:pPr>
      <w:r>
        <w:rPr>
          <w:sz w:val="20"/>
        </w:rPr>
        <w:t xml:space="preserve">This Guaranty (this “Guaranty”), dated effective as of </w:t>
      </w:r>
      <w:r>
        <w:rPr>
          <w:sz w:val="20"/>
          <w:u w:val="single"/>
        </w:rPr>
        <w:tab/>
        <w:tab/>
      </w:r>
      <w:r>
        <w:rPr>
          <w:sz w:val="20"/>
        </w:rPr>
        <w:t xml:space="preserve">, 2001 (the “Effective Date”), is made and entered into by </w:t>
      </w:r>
      <w:r>
        <w:rPr>
          <w:caps/>
          <w:sz w:val="20"/>
        </w:rPr>
        <w:t>Enron Corp.</w:t>
      </w:r>
      <w:r>
        <w:rPr>
          <w:sz w:val="20"/>
        </w:rPr>
        <w:t>, an Oregon corporation (“Guarantor”).</w:t>
      </w:r>
    </w:p>
    <w:p>
      <w:pPr>
        <w:pStyle w:val="Normal"/>
        <w:keepNext w:val="true"/>
        <w:spacing w:lineRule="exact" w:line="240" w:before="480" w:after="0"/>
        <w:jc w:val="center"/>
        <w:rPr>
          <w:b/>
          <w:caps/>
          <w:sz w:val="20"/>
        </w:rPr>
      </w:pPr>
      <w:r>
        <w:rPr>
          <w:b/>
          <w:caps/>
          <w:sz w:val="20"/>
        </w:rPr>
        <w:t>W I T N E S S E T H:</w:t>
      </w:r>
    </w:p>
    <w:p>
      <w:pPr>
        <w:pStyle w:val="Normal"/>
        <w:spacing w:lineRule="atLeast" w:line="240"/>
        <w:jc w:val="both"/>
        <w:rPr>
          <w:b/>
          <w:caps/>
          <w:sz w:val="20"/>
        </w:rPr>
      </w:pPr>
      <w:r>
        <w:rPr>
          <w:b/>
          <w:caps/>
          <w:sz w:val="20"/>
        </w:rPr>
      </w:r>
    </w:p>
    <w:p>
      <w:pPr>
        <w:pStyle w:val="Normal"/>
        <w:spacing w:lineRule="atLeast" w:line="240"/>
        <w:ind w:firstLine="720" w:end="0"/>
        <w:jc w:val="both"/>
        <w:rPr/>
      </w:pPr>
      <w:r>
        <w:rPr>
          <w:sz w:val="20"/>
        </w:rPr>
        <w:t xml:space="preserve">WHEREAS, CATEQUIL PARTNERS, L.P., a </w:t>
      </w:r>
      <w:r>
        <w:rPr>
          <w:sz w:val="20"/>
          <w:u w:val="single"/>
        </w:rPr>
        <w:tab/>
        <w:tab/>
        <w:tab/>
      </w:r>
      <w:r>
        <w:rPr>
          <w:sz w:val="20"/>
        </w:rPr>
        <w:t xml:space="preserve"> limited partnership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WHEREAS, Guarantor will directly or indirectly benefit from the transactions to be entered into between Enron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NOW THEREFORE, in consideration of Counterparty entering into the Contract, Guarantor hereby covenants and agrees as follows: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1.  </w:t>
      </w:r>
      <w:r>
        <w:rPr>
          <w:sz w:val="20"/>
          <w:u w:val="single"/>
        </w:rPr>
        <w:t>GUARANTY</w:t>
      </w:r>
      <w:r>
        <w:rPr>
          <w:sz w:val="20"/>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$10,000,000.</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2.  </w:t>
      </w:r>
      <w:r>
        <w:rPr>
          <w:sz w:val="20"/>
          <w:u w:val="single"/>
        </w:rPr>
        <w:t>DEMANDS AND NOTICE</w:t>
      </w:r>
      <w:r>
        <w:rPr>
          <w:sz w:val="20"/>
        </w:rPr>
        <w:t>.  Upon the occurrence and during the continuance of an Event of Default,</w:t>
      </w:r>
      <w:r>
        <w:rPr>
          <w:color w:val="FF0000"/>
          <w:sz w:val="20"/>
        </w:rPr>
        <w:t xml:space="preserve"> </w:t>
      </w:r>
      <w:r>
        <w:rPr>
          <w:sz w:val="20"/>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0"/>
        </w:rPr>
      </w:pPr>
      <w:r>
        <w:rPr>
          <w:sz w:val="20"/>
        </w:rPr>
      </w:r>
    </w:p>
    <w:p>
      <w:pPr>
        <w:pStyle w:val="Normal"/>
        <w:keepNext w:val="true"/>
        <w:spacing w:lineRule="atLeast" w:line="240"/>
        <w:ind w:firstLine="720" w:end="0"/>
        <w:jc w:val="both"/>
        <w:rPr/>
      </w:pPr>
      <w:r>
        <w:rPr>
          <w:sz w:val="20"/>
        </w:rPr>
        <w:t xml:space="preserve">3.  </w:t>
      </w:r>
      <w:r>
        <w:rPr>
          <w:sz w:val="20"/>
          <w:u w:val="single"/>
        </w:rPr>
        <w:t>REPRESENTATIONS AND WARRANTIES</w:t>
      </w:r>
      <w:r>
        <w:rPr>
          <w:sz w:val="20"/>
        </w:rPr>
        <w:t>.  Guarantor represents and warrants that:</w:t>
      </w:r>
    </w:p>
    <w:p>
      <w:pPr>
        <w:pStyle w:val="Normal"/>
        <w:keepNext w:val="true"/>
        <w:spacing w:lineRule="exact" w:line="240" w:before="240" w:after="0"/>
        <w:ind w:firstLine="630" w:start="810" w:end="0"/>
        <w:jc w:val="both"/>
        <w:rPr>
          <w:sz w:val="20"/>
        </w:rPr>
      </w:pPr>
      <w:r>
        <w:rPr>
          <w:sz w:val="20"/>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0"/>
        </w:rPr>
      </w:pPr>
      <w:r>
        <w:rPr>
          <w:sz w:val="2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0"/>
        </w:rPr>
      </w:pPr>
      <w:r>
        <w:rPr>
          <w:sz w:val="2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0"/>
        </w:rPr>
      </w:pPr>
      <w:r>
        <w:rPr>
          <w:sz w:val="20"/>
        </w:rPr>
      </w:r>
    </w:p>
    <w:p>
      <w:pPr>
        <w:pStyle w:val="Normal"/>
        <w:spacing w:lineRule="atLeast" w:line="240"/>
        <w:ind w:firstLine="720" w:end="0"/>
        <w:jc w:val="both"/>
        <w:rPr/>
      </w:pPr>
      <w:r>
        <w:rPr>
          <w:sz w:val="20"/>
        </w:rPr>
        <w:t xml:space="preserve">4.  </w:t>
      </w:r>
      <w:r>
        <w:rPr>
          <w:sz w:val="20"/>
          <w:u w:val="single"/>
        </w:rPr>
        <w:t>SETOFFS AND COUNTERCLAIMS</w:t>
      </w:r>
      <w:r>
        <w:rPr>
          <w:sz w:val="20"/>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5.  </w:t>
      </w:r>
      <w:r>
        <w:rPr>
          <w:sz w:val="20"/>
          <w:u w:val="single"/>
        </w:rPr>
        <w:t>AMENDMENT OF GUARANTY</w:t>
      </w:r>
      <w:r>
        <w:rPr>
          <w:sz w:val="20"/>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6.  </w:t>
      </w:r>
      <w:r>
        <w:rPr>
          <w:sz w:val="20"/>
          <w:u w:val="single"/>
        </w:rPr>
        <w:t>WAIVERS</w:t>
      </w:r>
      <w:r>
        <w:rPr>
          <w:sz w:val="20"/>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0"/>
        </w:rPr>
      </w:pPr>
      <w:r>
        <w:rPr>
          <w:sz w:val="20"/>
        </w:rPr>
      </w:r>
    </w:p>
    <w:p>
      <w:pPr>
        <w:pStyle w:val="Normal"/>
        <w:spacing w:lineRule="atLeast" w:line="240"/>
        <w:ind w:firstLine="720" w:end="0"/>
        <w:jc w:val="both"/>
        <w:rPr>
          <w:sz w:val="20"/>
        </w:rPr>
      </w:pPr>
      <w:r>
        <w:rPr>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7.  </w:t>
      </w:r>
      <w:r>
        <w:rPr>
          <w:sz w:val="20"/>
          <w:u w:val="single"/>
        </w:rPr>
        <w:t>NOTICE</w:t>
      </w:r>
      <w:r>
        <w:rPr>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0"/>
        </w:rPr>
      </w:pPr>
      <w:r>
        <w:rPr>
          <w:sz w:val="20"/>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0"/>
              </w:rPr>
            </w:pPr>
            <w:r>
              <w:rPr>
                <w:color w:val="000000"/>
                <w:sz w:val="20"/>
              </w:rPr>
              <w:t>To Counterparty:</w:t>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Catequil Partners, L.P.</w:t>
            </w:r>
          </w:p>
        </w:tc>
        <w:tc>
          <w:tcPr>
            <w:tcW w:w="1530" w:type="dxa"/>
            <w:tcBorders/>
          </w:tcPr>
          <w:p>
            <w:pPr>
              <w:pStyle w:val="Normal"/>
              <w:keepNext w:val="true"/>
              <w:keepLines/>
              <w:spacing w:lineRule="atLeast" w:line="240"/>
              <w:rPr>
                <w:color w:val="000000"/>
                <w:sz w:val="20"/>
              </w:rPr>
            </w:pPr>
            <w:r>
              <w:rPr>
                <w:color w:val="000000"/>
                <w:sz w:val="20"/>
              </w:rPr>
              <w:t>To Guarantor:</w:t>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Enron Corp.</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1400 Smith Street</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Houston, Texas 77002</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pPr>
            <w:r>
              <w:rPr>
                <w:color w:val="000000"/>
                <w:sz w:val="20"/>
              </w:rPr>
              <w:t xml:space="preserve">Attn.:  </w:t>
            </w:r>
            <w:r>
              <w:rPr>
                <w:color w:val="000000"/>
                <w:sz w:val="20"/>
                <w:u w:val="single"/>
              </w:rPr>
              <w:tab/>
            </w:r>
          </w:p>
          <w:p>
            <w:pPr>
              <w:pStyle w:val="Normal"/>
              <w:keepNext w:val="true"/>
              <w:keepLines/>
              <w:tabs>
                <w:tab w:val="clear" w:pos="720"/>
                <w:tab w:val="left" w:pos="3132" w:leader="none"/>
              </w:tabs>
              <w:spacing w:lineRule="atLeast" w:line="240"/>
              <w:rPr>
                <w:color w:val="000000"/>
                <w:sz w:val="20"/>
                <w:u w:val="single"/>
              </w:rPr>
            </w:pPr>
            <w:r>
              <w:rPr>
                <w:color w:val="000000"/>
                <w:sz w:val="20"/>
                <w:u w:val="single"/>
              </w:rPr>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Attn.:  Vice President, Finance and Treasurer</w:t>
            </w:r>
          </w:p>
        </w:tc>
      </w:tr>
      <w:tr>
        <w:trPr/>
        <w:tc>
          <w:tcPr>
            <w:tcW w:w="1908" w:type="dxa"/>
            <w:tcBorders/>
          </w:tcPr>
          <w:p>
            <w:pPr>
              <w:pStyle w:val="Normal"/>
              <w:keepNext w:val="true"/>
              <w:keepLines/>
              <w:snapToGrid w:val="false"/>
              <w:spacing w:lineRule="atLeast" w:line="240"/>
              <w:rPr>
                <w:color w:val="000000"/>
                <w:sz w:val="20"/>
              </w:rPr>
            </w:pPr>
            <w:r>
              <w:rPr>
                <w:color w:val="000000"/>
                <w:sz w:val="20"/>
              </w:rPr>
            </w:r>
          </w:p>
        </w:tc>
        <w:tc>
          <w:tcPr>
            <w:tcW w:w="3330" w:type="dxa"/>
            <w:tcBorders/>
          </w:tcPr>
          <w:p>
            <w:pPr>
              <w:pStyle w:val="Normal"/>
              <w:keepNext w:val="true"/>
              <w:keepLines/>
              <w:tabs>
                <w:tab w:val="clear" w:pos="720"/>
                <w:tab w:val="left" w:pos="3132" w:leader="none"/>
              </w:tabs>
              <w:spacing w:lineRule="atLeast" w:line="240"/>
              <w:rPr>
                <w:color w:val="000000"/>
                <w:sz w:val="20"/>
              </w:rPr>
            </w:pPr>
            <w:r>
              <w:rPr>
                <w:color w:val="000000"/>
                <w:sz w:val="20"/>
              </w:rPr>
              <w:t xml:space="preserve">Fax No.:  </w:t>
            </w:r>
            <w:r>
              <w:rPr>
                <w:color w:val="000000"/>
                <w:sz w:val="20"/>
                <w:u w:val="single"/>
              </w:rPr>
              <w:tab/>
            </w:r>
          </w:p>
        </w:tc>
        <w:tc>
          <w:tcPr>
            <w:tcW w:w="1530" w:type="dxa"/>
            <w:tcBorders/>
          </w:tcPr>
          <w:p>
            <w:pPr>
              <w:pStyle w:val="Normal"/>
              <w:keepNext w:val="true"/>
              <w:keepLines/>
              <w:snapToGrid w:val="false"/>
              <w:spacing w:lineRule="atLeast" w:line="240"/>
              <w:rPr>
                <w:color w:val="000000"/>
                <w:sz w:val="20"/>
              </w:rPr>
            </w:pPr>
            <w:r>
              <w:rPr>
                <w:color w:val="000000"/>
                <w:sz w:val="20"/>
              </w:rPr>
            </w:r>
          </w:p>
        </w:tc>
        <w:tc>
          <w:tcPr>
            <w:tcW w:w="3420" w:type="dxa"/>
            <w:tcBorders/>
          </w:tcPr>
          <w:p>
            <w:pPr>
              <w:pStyle w:val="Normal"/>
              <w:keepNext w:val="true"/>
              <w:keepLines/>
              <w:tabs>
                <w:tab w:val="clear" w:pos="720"/>
                <w:tab w:val="right" w:pos="2988" w:leader="none"/>
              </w:tabs>
              <w:spacing w:lineRule="atLeast" w:line="240"/>
              <w:rPr>
                <w:color w:val="000000"/>
                <w:sz w:val="20"/>
              </w:rPr>
            </w:pPr>
            <w:r>
              <w:rPr>
                <w:color w:val="000000"/>
                <w:sz w:val="20"/>
              </w:rPr>
              <w:t>Fax No.:  (713) 646-3422</w:t>
            </w:r>
          </w:p>
        </w:tc>
      </w:tr>
    </w:tbl>
    <w:p>
      <w:pPr>
        <w:pStyle w:val="Normal"/>
        <w:tabs>
          <w:tab w:val="clear" w:pos="720"/>
          <w:tab w:val="left" w:pos="2880" w:leader="none"/>
          <w:tab w:val="left" w:pos="6480" w:leader="none"/>
        </w:tabs>
        <w:spacing w:lineRule="exact" w:line="240"/>
        <w:ind w:start="720" w:end="0"/>
        <w:jc w:val="both"/>
        <w:rPr>
          <w:sz w:val="20"/>
        </w:rPr>
      </w:pPr>
      <w:r>
        <w:rPr>
          <w:sz w:val="20"/>
        </w:rPr>
      </w:r>
    </w:p>
    <w:p>
      <w:pPr>
        <w:pStyle w:val="Normal"/>
        <w:spacing w:lineRule="atLeast" w:line="240"/>
        <w:jc w:val="both"/>
        <w:rPr>
          <w:sz w:val="20"/>
        </w:rPr>
      </w:pPr>
      <w:r>
        <w:rPr>
          <w:sz w:val="20"/>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0"/>
        </w:rPr>
      </w:pPr>
      <w:r>
        <w:rPr>
          <w:sz w:val="20"/>
        </w:rPr>
      </w:r>
    </w:p>
    <w:p>
      <w:pPr>
        <w:pStyle w:val="Normal"/>
        <w:spacing w:lineRule="atLeast" w:line="240"/>
        <w:ind w:firstLine="720" w:end="0"/>
        <w:jc w:val="both"/>
        <w:rPr>
          <w:sz w:val="20"/>
        </w:rPr>
      </w:pPr>
      <w:r>
        <w:rPr>
          <w:sz w:val="20"/>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8.  </w:t>
      </w:r>
      <w:r>
        <w:rPr>
          <w:sz w:val="20"/>
          <w:u w:val="single"/>
        </w:rPr>
        <w:t>MISCELLANEOUS</w:t>
      </w:r>
      <w:r>
        <w:rPr>
          <w:sz w:val="20"/>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0"/>
        </w:rPr>
      </w:pPr>
      <w:r>
        <w:rPr>
          <w:sz w:val="20"/>
        </w:rPr>
      </w:r>
    </w:p>
    <w:p>
      <w:pPr>
        <w:pStyle w:val="Normal"/>
        <w:spacing w:lineRule="atLeast" w:line="240"/>
        <w:ind w:firstLine="720" w:end="0"/>
        <w:jc w:val="both"/>
        <w:rPr/>
      </w:pPr>
      <w:r>
        <w:rPr>
          <w:sz w:val="20"/>
        </w:rPr>
        <w:t xml:space="preserve">IN WITNESS WHEREOF, the Guarantor has executed this Guaranty on </w:t>
        <w:tab/>
      </w:r>
      <w:r>
        <w:rPr>
          <w:sz w:val="20"/>
          <w:u w:val="single"/>
        </w:rPr>
        <w:tab/>
      </w:r>
      <w:r>
        <w:rPr>
          <w:sz w:val="20"/>
        </w:rPr>
        <w:t>, 2001, but it is effective as of the Effective Date.</w:t>
      </w:r>
    </w:p>
    <w:p>
      <w:pPr>
        <w:pStyle w:val="Normal"/>
        <w:spacing w:lineRule="atLeast" w:line="240"/>
        <w:ind w:firstLine="720" w:end="0"/>
        <w:jc w:val="both"/>
        <w:rPr>
          <w:sz w:val="20"/>
        </w:rPr>
      </w:pPr>
      <w:r>
        <w:rPr>
          <w:sz w:val="20"/>
        </w:rPr>
      </w:r>
    </w:p>
    <w:p>
      <w:pPr>
        <w:pStyle w:val="Normal"/>
        <w:spacing w:lineRule="atLeast" w:line="240"/>
        <w:ind w:start="5040" w:end="0"/>
        <w:jc w:val="both"/>
        <w:rPr>
          <w:b/>
          <w:sz w:val="20"/>
        </w:rPr>
      </w:pPr>
      <w:r>
        <w:rPr>
          <w:b/>
          <w:sz w:val="20"/>
        </w:rPr>
        <w:t>ENRON CORP.</w:t>
      </w:r>
    </w:p>
    <w:p>
      <w:pPr>
        <w:pStyle w:val="Normal"/>
        <w:spacing w:lineRule="atLeast" w:line="240"/>
        <w:ind w:start="5040" w:end="0"/>
        <w:jc w:val="both"/>
        <w:rPr>
          <w:b/>
          <w:sz w:val="20"/>
        </w:rPr>
      </w:pPr>
      <w:r>
        <w:rPr>
          <w:b/>
          <w:sz w:val="20"/>
        </w:rPr>
      </w:r>
    </w:p>
    <w:p>
      <w:pPr>
        <w:pStyle w:val="Normal"/>
        <w:spacing w:lineRule="atLeast" w:line="240"/>
        <w:ind w:start="5040" w:end="0"/>
        <w:jc w:val="both"/>
        <w:rPr>
          <w:b/>
          <w:sz w:val="20"/>
        </w:rPr>
      </w:pPr>
      <w:r>
        <w:rPr>
          <w:b/>
          <w:sz w:val="20"/>
        </w:rPr>
      </w:r>
    </w:p>
    <w:p>
      <w:pPr>
        <w:pStyle w:val="Normal"/>
        <w:spacing w:lineRule="atLeast" w:line="240"/>
        <w:ind w:start="5040" w:end="0"/>
        <w:jc w:val="both"/>
        <w:rPr>
          <w:sz w:val="20"/>
        </w:rPr>
      </w:pPr>
      <w:r>
        <w:rPr>
          <w:sz w:val="20"/>
        </w:rPr>
        <w:t xml:space="preserve">By:  </w:t>
      </w:r>
      <w:r>
        <w:rPr>
          <w:sz w:val="20"/>
          <w:u w:val="single"/>
        </w:rPr>
        <w:tab/>
        <w:tab/>
        <w:tab/>
        <w:tab/>
        <w:tab/>
      </w:r>
    </w:p>
    <w:p>
      <w:pPr>
        <w:pStyle w:val="Normal"/>
        <w:spacing w:lineRule="atLeast" w:line="240"/>
        <w:ind w:start="5040" w:end="0"/>
        <w:jc w:val="both"/>
        <w:rPr>
          <w:sz w:val="20"/>
        </w:rPr>
      </w:pPr>
      <w:r>
        <w:rPr>
          <w:sz w:val="20"/>
        </w:rPr>
        <w:t xml:space="preserve">Name:  </w:t>
      </w:r>
      <w:r>
        <w:rPr>
          <w:sz w:val="20"/>
          <w:u w:val="single"/>
        </w:rPr>
        <w:tab/>
        <w:tab/>
        <w:tab/>
        <w:tab/>
        <w:tab/>
      </w:r>
    </w:p>
    <w:p>
      <w:pPr>
        <w:pStyle w:val="Normal"/>
        <w:spacing w:lineRule="atLeast" w:line="240"/>
        <w:ind w:start="5040" w:end="0"/>
        <w:jc w:val="both"/>
        <w:rPr>
          <w:sz w:val="20"/>
        </w:rPr>
      </w:pPr>
      <w:r>
        <w:rPr>
          <w:sz w:val="20"/>
        </w:rPr>
        <w:t xml:space="preserve">Title:  </w:t>
      </w:r>
      <w:r>
        <w:rPr>
          <w:sz w:val="20"/>
          <w:u w:val="single"/>
        </w:rPr>
        <w:tab/>
        <w:tab/>
        <w:tab/>
        <w:tab/>
        <w:tab/>
      </w:r>
    </w:p>
    <w:p>
      <w:pPr>
        <w:pStyle w:val="Normal"/>
        <w:rPr>
          <w:sz w:val="20"/>
        </w:rPr>
      </w:pPr>
      <w:r>
        <w:rPr>
          <w:sz w:val="20"/>
        </w:rPr>
      </w:r>
    </w:p>
    <w:p>
      <w:pPr>
        <w:pStyle w:val="Normal"/>
        <w:jc w:val="both"/>
        <w:rPr/>
      </w:pPr>
      <w:r>
        <w:rPr/>
        <w:tab/>
      </w:r>
    </w:p>
    <w:sectPr>
      <w:headerReference w:type="default" r:id="rId24"/>
      <w:headerReference w:type="first" r:id="rId25"/>
      <w:footerReference w:type="default" r:id="rId26"/>
      <w:footerReference w:type="first" r:id="rId27"/>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7</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530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49.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 xml:space="preserve">Deal No. QV4865.2 </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 xml:space="preserve">Deal No. QV4865.2 </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Deal No. QV4865.2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 xml:space="preserve">Deal No. QV4865.2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 xml:space="preserve">Deal No. QV4865.2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 xml:space="preserve">Deal No. QV4865.2 </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 xml:space="preserve">Deal No. QV4865.2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Roman"/>
      <w:lvlText w:val="(%1)"/>
      <w:lvlJc w:val="start"/>
      <w:pPr>
        <w:tabs>
          <w:tab w:val="num" w:pos="1440"/>
        </w:tabs>
        <w:ind w:start="1440" w:hanging="720"/>
      </w:pPr>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b w:val="false"/>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Index1">
    <w:name w:val="index 1"/>
    <w:basedOn w:val="Normal"/>
    <w:next w:val="Normal"/>
    <w:pPr/>
    <w:rPr>
      <w:rFonts w:ascii="Arial" w:hAnsi="Arial" w:cs="Arial"/>
      <w:sz w:val="20"/>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spacing w:lineRule="exact" w:line="240" w:before="240" w:after="0"/>
      <w:ind w:hanging="720" w:start="1440" w:end="0"/>
      <w:jc w:val="both"/>
    </w:pPr>
    <w:rPr>
      <w:color w:val="FF0000"/>
      <w:sz w:val="20"/>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2">
    <w:name w:val="Body Text 2"/>
    <w:basedOn w:val="Normal"/>
    <w:qFormat/>
    <w:pPr/>
    <w:rPr>
      <w:b/>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hyperlink" Target="http://www.enron.com/" TargetMode="Externa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7.xml"/><Relationship Id="rId19" Type="http://schemas.openxmlformats.org/officeDocument/2006/relationships/footer" Target="foot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9.xml"/><Relationship Id="rId23" Type="http://schemas.openxmlformats.org/officeDocument/2006/relationships/footer" Target="foot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2001-03-15T19:41:00Z</dcterms:created>
  <dc:creator>ECT</dc:creator>
  <dc:description/>
  <dc:language>en-CA</dc:language>
  <cp:lastModifiedBy>jhunte2</cp:lastModifiedBy>
  <dcterms:modified xsi:type="dcterms:W3CDTF">2001-03-15T20:02:00Z</dcterms:modified>
  <cp:revision>3</cp:revision>
  <dc:subject>Catequil Partners, L.P.</dc:subject>
  <dc:title>QV4865.2</dc:title>
</cp:coreProperties>
</file>