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QV4865.1</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See Attachment</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$0.19500 per MMBtu</w:t>
            </w:r>
            <w:r>
              <w:rPr>
                <w:sz w:val="20"/>
              </w:rPr>
              <w:fldChar w:fldCharType="end"/>
            </w:r>
          </w:p>
        </w:tc>
      </w:tr>
    </w:tbl>
    <w:p>
      <w:pPr>
        <w:pStyle w:val="Normal"/>
        <w:rPr>
          <w:b/>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r>
        <w:br w:type="page"/>
      </w:r>
    </w:p>
    <w:p>
      <w:pPr>
        <w:pStyle w:val="Normal"/>
        <w:keepNext w:val="true"/>
        <w:jc w:val="center"/>
        <w:rPr>
          <w:sz w:val="20"/>
        </w:rPr>
      </w:pPr>
      <w:r>
        <w:rPr>
          <w:sz w:val="20"/>
        </w:rPr>
      </w:r>
    </w:p>
    <w:p>
      <w:pPr>
        <w:pStyle w:val="Normal"/>
        <w:jc w:val="center"/>
        <w:rPr>
          <w:b/>
          <w:sz w:val="20"/>
        </w:rPr>
      </w:pPr>
      <w:r>
        <w:rPr>
          <w:b/>
          <w:sz w:val="20"/>
        </w:rPr>
        <w:t>Attachment</w:t>
      </w:r>
    </w:p>
    <w:p>
      <w:pPr>
        <w:pStyle w:val="Normal"/>
        <w:jc w:val="center"/>
        <w:rPr>
          <w:b/>
          <w:sz w:val="20"/>
        </w:rPr>
      </w:pPr>
      <w:r>
        <w:rPr>
          <w:b/>
          <w:sz w:val="20"/>
        </w:rPr>
        <w:t>Contract No. QV4865.1</w:t>
      </w:r>
    </w:p>
    <w:p>
      <w:pPr>
        <w:pStyle w:val="Normal"/>
        <w:jc w:val="center"/>
        <w:rPr>
          <w:b/>
          <w:sz w:val="20"/>
        </w:rPr>
      </w:pPr>
      <w:r>
        <w:rPr>
          <w:b/>
          <w:sz w:val="20"/>
        </w:rPr>
      </w:r>
    </w:p>
    <w:p>
      <w:pPr>
        <w:pStyle w:val="Normal"/>
        <w:rPr>
          <w:b/>
          <w:sz w:val="20"/>
        </w:rPr>
      </w:pPr>
      <w:r>
        <w:rPr>
          <w:b/>
          <w:sz w:val="20"/>
        </w:rPr>
      </w:r>
    </w:p>
    <w:p>
      <w:pPr>
        <w:pStyle w:val="Normal"/>
        <w:rPr>
          <w:b/>
          <w:sz w:val="20"/>
        </w:rPr>
      </w:pPr>
      <w:r>
        <w:rPr>
          <w:b/>
          <w:sz w:val="20"/>
        </w:rPr>
        <w:tab/>
        <w:tab/>
        <w:t>Quantity Measurement: MMBtu</w:t>
      </w:r>
    </w:p>
    <w:p>
      <w:pPr>
        <w:pStyle w:val="Normal"/>
        <w:rPr>
          <w:b/>
          <w:sz w:val="20"/>
        </w:rPr>
      </w:pPr>
      <w:r>
        <w:rPr>
          <w:b/>
          <w:sz w:val="20"/>
        </w:rPr>
      </w:r>
    </w:p>
    <w:p>
      <w:pPr>
        <w:pStyle w:val="Normal"/>
        <w:rPr>
          <w:b/>
          <w:sz w:val="20"/>
        </w:rPr>
      </w:pPr>
      <w:r>
        <w:rPr>
          <w:b/>
          <w:sz w:val="20"/>
        </w:rPr>
      </w:r>
    </w:p>
    <w:p>
      <w:pPr>
        <w:pStyle w:val="Normal"/>
        <w:rPr>
          <w:b/>
          <w:sz w:val="20"/>
        </w:rPr>
      </w:pPr>
      <w:r>
        <w:rPr>
          <w:b/>
          <w:sz w:val="20"/>
        </w:rPr>
        <w:tab/>
        <w:tab/>
        <w:t xml:space="preserve">                                    Quantity Per Month</w:t>
      </w:r>
    </w:p>
    <w:p>
      <w:pPr>
        <w:pStyle w:val="Normal"/>
        <w:rPr>
          <w:b/>
          <w:sz w:val="20"/>
        </w:rPr>
      </w:pPr>
      <w:r>
        <w:rPr>
          <w:b/>
          <w:sz w:val="20"/>
        </w:rPr>
        <w:tab/>
        <w:tab/>
        <w:t xml:space="preserve">Calculation                   Per Calculation </w:t>
      </w:r>
    </w:p>
    <w:p>
      <w:pPr>
        <w:pStyle w:val="Normal"/>
        <w:rPr>
          <w:b/>
          <w:sz w:val="20"/>
        </w:rPr>
      </w:pPr>
      <w:r>
        <w:rPr>
          <w:b/>
          <w:sz w:val="20"/>
        </w:rPr>
        <w:tab/>
        <w:tab/>
        <w:t xml:space="preserve">     Period                             Period                          </w:t>
      </w:r>
    </w:p>
    <w:p>
      <w:pPr>
        <w:pStyle w:val="Normal"/>
        <w:rPr>
          <w:b/>
          <w:sz w:val="20"/>
        </w:rPr>
      </w:pPr>
      <w:r>
        <w:rPr>
          <w:b/>
          <w:sz w:val="20"/>
        </w:rPr>
        <w:tab/>
        <w:tab/>
        <w:t xml:space="preserve">--------------------            ---------------------              </w:t>
      </w:r>
    </w:p>
    <w:p>
      <w:pPr>
        <w:pStyle w:val="Normal"/>
        <w:rPr>
          <w:b/>
          <w:sz w:val="20"/>
        </w:rPr>
      </w:pPr>
      <w:r>
        <w:rPr>
          <w:b/>
          <w:sz w:val="20"/>
        </w:rPr>
      </w:r>
    </w:p>
    <w:p>
      <w:pPr>
        <w:pStyle w:val="Normal"/>
        <w:rPr>
          <w:b/>
          <w:sz w:val="20"/>
        </w:rPr>
      </w:pPr>
      <w:r>
        <w:rPr>
          <w:b/>
          <w:sz w:val="20"/>
        </w:rPr>
        <w:tab/>
        <w:tab/>
        <w:t>November, 2001</w:t>
        <w:tab/>
        <w:tab/>
        <w:t>120,000</w:t>
        <w:tab/>
      </w:r>
    </w:p>
    <w:p>
      <w:pPr>
        <w:pStyle w:val="Normal"/>
        <w:rPr>
          <w:b/>
          <w:sz w:val="20"/>
        </w:rPr>
      </w:pPr>
      <w:r>
        <w:rPr>
          <w:b/>
          <w:sz w:val="20"/>
        </w:rPr>
        <w:tab/>
        <w:tab/>
        <w:t>December, 2001</w:t>
        <w:tab/>
        <w:tab/>
        <w:t>130,000</w:t>
        <w:tab/>
      </w:r>
    </w:p>
    <w:p>
      <w:pPr>
        <w:pStyle w:val="Normal"/>
        <w:rPr>
          <w:b/>
          <w:sz w:val="20"/>
        </w:rPr>
      </w:pPr>
      <w:r>
        <w:rPr>
          <w:b/>
          <w:sz w:val="20"/>
        </w:rPr>
        <w:tab/>
        <w:tab/>
        <w:t>January, 2002</w:t>
        <w:tab/>
        <w:tab/>
        <w:t>130,000</w:t>
        <w:tab/>
      </w:r>
    </w:p>
    <w:p>
      <w:pPr>
        <w:pStyle w:val="Normal"/>
        <w:rPr>
          <w:b/>
          <w:sz w:val="20"/>
        </w:rPr>
      </w:pPr>
      <w:r>
        <w:rPr>
          <w:b/>
          <w:sz w:val="20"/>
        </w:rPr>
        <w:tab/>
        <w:tab/>
        <w:t>February, 2002</w:t>
        <w:tab/>
        <w:tab/>
        <w:t>100,000</w:t>
        <w:tab/>
      </w:r>
    </w:p>
    <w:p>
      <w:pPr>
        <w:pStyle w:val="Normal"/>
        <w:rPr>
          <w:b/>
          <w:sz w:val="20"/>
        </w:rPr>
      </w:pPr>
      <w:r>
        <w:rPr>
          <w:b/>
          <w:sz w:val="20"/>
        </w:rPr>
        <w:tab/>
        <w:tab/>
        <w:t>March, 2002</w:t>
        <w:tab/>
        <w:tab/>
        <w:t>130,000</w:t>
        <w:tab/>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sz w:val="20"/>
        </w:rPr>
      </w:pPr>
      <w:r>
        <w:rPr>
          <w:b/>
          <w:sz w:val="20"/>
        </w:rPr>
        <w:tab/>
        <w:tab/>
        <w:tab/>
        <w:t>End Of Attachment</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Index1"/>
        <w:keepNext w:val="true"/>
        <w:rPr>
          <w:rFonts w:ascii="Times New Roman" w:hAnsi="Times New Roman" w:cs="Times New Roman"/>
          <w:sz w:val="20"/>
        </w:rPr>
      </w:pPr>
      <w:r>
        <w:rPr>
          <w:rFonts w:cs="Times New Roman" w:ascii="Times New Roman" w:hAnsi="Times New Roman"/>
          <w:sz w:val="20"/>
        </w:rPr>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QV4865.1</w:t>
    </w:r>
    <w:r>
      <w:rPr>
        <w:sz w:val="22"/>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2001-03-15T19:41:00Z</dcterms:created>
  <dc:creator>ECT</dc:creator>
  <dc:description/>
  <dc:language>en-CA</dc:language>
  <cp:lastModifiedBy>jhunte2</cp:lastModifiedBy>
  <dcterms:modified xsi:type="dcterms:W3CDTF">2001-03-15T20:03:00Z</dcterms:modified>
  <cp:revision>3</cp:revision>
  <dc:subject>Catequil Partners, L.P.</dc:subject>
  <dc:title>QV4865.1</dc:title>
</cp:coreProperties>
</file>