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02,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Overseas Partners, Ltd.</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QV0879.6</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Overseas Partners Ltd. (“Counterparty”) and Enron North America Corp. (“ENA”) on March 2,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180,000 MMBtu per month</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02,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November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November 01, 2001 and ending on March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Counterparty</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plus US Dollars $0.25500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ENA</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applicable Calculation Period Bidweek Average Price in the row entitled “Chicago Citygate” located in the “Midwest” section of the table entitled “Spot Gas Prices” in the first issue of Natural Gas Intelligence Weekly Gas Price Index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Normal"/>
        <w:ind w:end="-90"/>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OVERSEAS PARTNERS LTD.</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keepNext w:val="true"/>
        <w:rPr>
          <w:sz w:val="20"/>
        </w:rPr>
      </w:pPr>
      <w:r>
        <w:rPr>
          <w:sz w:val="20"/>
        </w:rPr>
        <w:t>Title:</w:t>
        <w:tab/>
        <w:t>_____________________________</w:t>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Overseas Partners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Overseas Partners Ltd.</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OVERSEAS PARTNERS LTD,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Overseas Partners Ltd.</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pPr>
      <w:r>
        <w:rPr>
          <w:sz w:val="20"/>
        </w:rPr>
        <w:t xml:space="preserve">Title:  </w:t>
      </w:r>
      <w:r>
        <w:rPr>
          <w:sz w:val="20"/>
          <w:u w:val="single"/>
        </w:rPr>
        <w:tab/>
        <w:tab/>
        <w:tab/>
        <w:tab/>
        <w:tab/>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QV0879.6</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end"/>
      <w:rPr/>
    </w:pPr>
    <w:r>
      <w:rPr>
        <w:sz w:val="20"/>
      </w:rPr>
      <w:t xml:space="preserve">Deal No. </w:t>
    </w:r>
    <w:r>
      <w:rPr>
        <w:sz w:val="20"/>
      </w:rPr>
      <w:fldChar w:fldCharType="begin"/>
    </w:r>
    <w:r>
      <w:rPr>
        <w:sz w:val="20"/>
      </w:rPr>
      <w:instrText xml:space="preserve"> TITLE </w:instrText>
    </w:r>
    <w:r>
      <w:rPr>
        <w:sz w:val="20"/>
      </w:rPr>
      <w:fldChar w:fldCharType="separate"/>
    </w:r>
    <w:r>
      <w:rPr>
        <w:sz w:val="20"/>
      </w:rPr>
      <w:t>QV0879.6</w:t>
    </w:r>
    <w:r>
      <w:rPr>
        <w:sz w:val="20"/>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QV0879.6</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QV0879.6</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QV0879.6</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QV0879.6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Justified">
    <w:name w:val="Justified"/>
    <w:basedOn w:val="Normal"/>
    <w:next w:val="Heading2"/>
    <w:qFormat/>
    <w:pPr>
      <w:spacing w:before="0" w:after="120"/>
      <w:jc w:val="both"/>
    </w:pPr>
    <w:rPr>
      <w:rFonts w:ascii="Arial" w:hAnsi="Arial" w:cs="Arial"/>
      <w:sz w:val="22"/>
    </w:rPr>
  </w:style>
  <w:style w:type="paragraph" w:styleId="Index1">
    <w:name w:val="index 1"/>
    <w:basedOn w:val="Normal"/>
    <w:next w:val="Normal"/>
    <w:pPr/>
    <w:rPr>
      <w:rFonts w:ascii="Arial" w:hAnsi="Arial" w:cs="Arial"/>
      <w:sz w:val="20"/>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2001-03-15T19:37:00Z</dcterms:created>
  <dc:creator>ECT</dc:creator>
  <dc:description/>
  <dc:language>en-CA</dc:language>
  <cp:lastModifiedBy>jhunte2</cp:lastModifiedBy>
  <dcterms:modified xsi:type="dcterms:W3CDTF">2001-03-15T20:04:00Z</dcterms:modified>
  <cp:revision>3</cp:revision>
  <dc:subject>Catequil Overseas Partners, Ltd.</dc:subject>
  <dc:title>QV0879.6</dc:title>
</cp:coreProperties>
</file>