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drawing>
          <wp:anchor behindDoc="0" distT="0" distB="0" distL="114935" distR="114935" simplePos="0" locked="0" layoutInCell="1" allowOverlap="1" relativeHeight="2">
            <wp:simplePos x="0" y="0"/>
            <wp:positionH relativeFrom="column">
              <wp:posOffset>-571500</wp:posOffset>
            </wp:positionH>
            <wp:positionV relativeFrom="paragraph">
              <wp:posOffset>-342900</wp:posOffset>
            </wp:positionV>
            <wp:extent cx="609600" cy="628650"/>
            <wp:effectExtent l="0" t="0" r="0" b="0"/>
            <wp:wrapNone/>
            <wp:docPr id="1" name="enron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logo" descr="" title=""/>
                    <pic:cNvPicPr>
                      <a:picLocks noChangeAspect="1" noChangeArrowheads="1"/>
                    </pic:cNvPicPr>
                  </pic:nvPicPr>
                  <pic:blipFill>
                    <a:blip r:embed="rId2"/>
                    <a:srcRect l="-63" t="-63" r="-63" b="-63"/>
                    <a:stretch>
                      <a:fillRect/>
                    </a:stretch>
                  </pic:blipFill>
                  <pic:spPr bwMode="auto">
                    <a:xfrm>
                      <a:off x="0" y="0"/>
                      <a:ext cx="609600" cy="628650"/>
                    </a:xfrm>
                    <a:prstGeom prst="rect">
                      <a:avLst/>
                    </a:prstGeom>
                    <a:noFill/>
                  </pic:spPr>
                </pic:pic>
              </a:graphicData>
            </a:graphic>
          </wp:anchor>
        </w:drawing>
      </w:r>
      <w:r>
        <w:rPr>
          <w:rFonts w:cs="Helv;Arial" w:ascii="Helv;Arial" w:hAnsi="Helv;Arial"/>
          <w:color w:val="000000"/>
        </w:rPr>
        <w:tab/>
      </w:r>
      <w:r>
        <w:rPr>
          <w:rFonts w:cs="Arial" w:ascii="Arial" w:hAnsi="Arial"/>
          <w:b/>
          <w:bCs/>
          <w:sz w:val="36"/>
        </w:rPr>
        <w:t>Enron Weather Desk</w:t>
      </w:r>
    </w:p>
    <w:p>
      <w:pPr>
        <w:pStyle w:val="Normal"/>
        <w:pBdr>
          <w:bottom w:val="single" w:sz="12" w:space="1" w:color="000000"/>
        </w:pBdr>
        <w:jc w:val="center"/>
        <w:rPr>
          <w:rFonts w:ascii="Arial" w:hAnsi="Arial" w:cs="Arial"/>
          <w:b/>
          <w:bCs/>
          <w:sz w:val="20"/>
        </w:rPr>
      </w:pPr>
      <w:r>
        <w:rPr>
          <w:rFonts w:cs="Arial" w:ascii="Arial" w:hAnsi="Arial"/>
          <w:b/>
          <w:bCs/>
          <w:sz w:val="20"/>
        </w:rPr>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Transaction:</w:t>
        <w:tab/>
        <w:t>Hydro Contigent Power Call</w:t>
      </w:r>
    </w:p>
    <w:p>
      <w:pPr>
        <w:pStyle w:val="Normal"/>
        <w:ind w:hanging="1620" w:start="1620" w:end="0"/>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Buyer:</w:t>
        <w:tab/>
      </w:r>
    </w:p>
    <w:p>
      <w:pPr>
        <w:pStyle w:val="Normal"/>
        <w:ind w:hanging="1620" w:start="1620" w:end="0"/>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Seller:</w:t>
        <w:tab/>
        <w:t xml:space="preserve">Enron </w:t>
      </w:r>
    </w:p>
    <w:p>
      <w:pPr>
        <w:pStyle w:val="Normal"/>
        <w:ind w:hanging="1620" w:start="1620" w:end="0"/>
        <w:rPr>
          <w:rFonts w:ascii="Arial" w:hAnsi="Arial" w:cs="Arial"/>
          <w:sz w:val="20"/>
        </w:rPr>
      </w:pPr>
      <w:r>
        <w:rPr>
          <w:rFonts w:cs="Arial" w:ascii="Arial" w:hAnsi="Arial"/>
          <w:sz w:val="20"/>
        </w:rPr>
      </w:r>
    </w:p>
    <w:p>
      <w:pPr>
        <w:pStyle w:val="Normal"/>
        <w:ind w:hanging="1620" w:start="1620" w:end="0"/>
        <w:rPr/>
      </w:pPr>
      <w:r>
        <w:rPr>
          <w:rFonts w:cs="Arial" w:ascii="Arial" w:hAnsi="Arial"/>
          <w:sz w:val="20"/>
        </w:rPr>
        <w:t>Contract Term:</w:t>
        <w:tab/>
        <w:t>November 1</w:t>
      </w:r>
      <w:r>
        <w:rPr>
          <w:rFonts w:cs="Arial" w:ascii="Arial" w:hAnsi="Arial"/>
          <w:sz w:val="20"/>
          <w:vertAlign w:val="superscript"/>
        </w:rPr>
        <w:t>st</w:t>
      </w:r>
      <w:r>
        <w:rPr>
          <w:rFonts w:cs="Arial" w:ascii="Arial" w:hAnsi="Arial"/>
          <w:sz w:val="20"/>
        </w:rPr>
        <w:t xml:space="preserve"> 2001 through October 30, 2003</w:t>
      </w:r>
    </w:p>
    <w:p>
      <w:pPr>
        <w:pStyle w:val="Normal"/>
        <w:rPr>
          <w:rFonts w:ascii="Arial" w:hAnsi="Arial" w:cs="Arial"/>
          <w:sz w:val="20"/>
        </w:rPr>
      </w:pPr>
      <w:r>
        <w:rPr>
          <w:rFonts w:cs="Arial" w:ascii="Arial" w:hAnsi="Arial"/>
          <w:sz w:val="20"/>
        </w:rPr>
      </w:r>
    </w:p>
    <w:p>
      <w:pPr>
        <w:pStyle w:val="BodyText"/>
        <w:ind w:hanging="1620" w:start="1620" w:end="0"/>
        <w:rPr/>
      </w:pPr>
      <w:r>
        <w:rPr/>
        <w:t>Payout Condition: Streamflow &lt; Strike level on any day, or</w:t>
      </w:r>
    </w:p>
    <w:p>
      <w:pPr>
        <w:pStyle w:val="BodyText"/>
        <w:ind w:hanging="180" w:start="1620" w:end="0"/>
        <w:rPr/>
      </w:pPr>
      <w:r>
        <w:rPr>
          <w:rFonts w:eastAsia="Arial"/>
        </w:rPr>
        <w:t xml:space="preserve">   </w:t>
      </w:r>
      <w:r>
        <w:rPr/>
        <w:t>Power Price &gt; Strike on any given day</w:t>
      </w:r>
    </w:p>
    <w:p>
      <w:pPr>
        <w:pStyle w:val="Normal"/>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Payout:</w:t>
        <w:tab/>
        <w:t>Min (850MW*16 Hrs, Max(Streamflow Put Strike – Daily Streamflow,0)) x</w:t>
      </w:r>
    </w:p>
    <w:p>
      <w:pPr>
        <w:pStyle w:val="Normal"/>
        <w:ind w:hanging="1620" w:start="1620" w:end="0"/>
        <w:rPr>
          <w:rFonts w:ascii="Arial" w:hAnsi="Arial" w:cs="Arial"/>
          <w:sz w:val="20"/>
        </w:rPr>
      </w:pPr>
      <w:r>
        <w:rPr>
          <w:rFonts w:cs="Arial" w:ascii="Arial" w:hAnsi="Arial"/>
          <w:sz w:val="20"/>
        </w:rPr>
        <w:tab/>
        <w:t>Maximum (MIDC Power Price-Power Call Strike,0) x</w:t>
      </w:r>
    </w:p>
    <w:p>
      <w:pPr>
        <w:pStyle w:val="Normal"/>
        <w:ind w:hanging="1620" w:start="1620" w:end="0"/>
        <w:rPr>
          <w:rFonts w:ascii="Arial" w:hAnsi="Arial" w:cs="Arial"/>
          <w:sz w:val="20"/>
        </w:rPr>
      </w:pPr>
      <w:r>
        <w:rPr>
          <w:rFonts w:cs="Arial" w:ascii="Arial" w:hAnsi="Arial"/>
          <w:sz w:val="20"/>
        </w:rPr>
        <w:tab/>
        <w:t>Tick Size</w:t>
      </w:r>
    </w:p>
    <w:p>
      <w:pPr>
        <w:pStyle w:val="Normal"/>
        <w:ind w:hanging="1620" w:start="1620" w:end="0"/>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Payout Limit</w:t>
        <w:tab/>
        <w:t>$ XYZ</w:t>
      </w:r>
    </w:p>
    <w:p>
      <w:pPr>
        <w:pStyle w:val="Normal"/>
        <w:ind w:hanging="1620" w:start="1620" w:end="0"/>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Strikes:</w:t>
        <w:tab/>
      </w:r>
    </w:p>
    <w:tbl>
      <w:tblPr>
        <w:tblW w:w="5751" w:type="dxa"/>
        <w:jc w:val="start"/>
        <w:tblInd w:w="1620" w:type="dxa"/>
        <w:tblLayout w:type="fixed"/>
        <w:tblCellMar>
          <w:top w:w="0" w:type="dxa"/>
          <w:start w:w="108" w:type="dxa"/>
          <w:bottom w:w="0" w:type="dxa"/>
          <w:end w:w="108" w:type="dxa"/>
        </w:tblCellMar>
      </w:tblPr>
      <w:tblGrid>
        <w:gridCol w:w="1917"/>
        <w:gridCol w:w="1917"/>
        <w:gridCol w:w="1917"/>
      </w:tblGrid>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Year/Month</w:t>
            </w:r>
          </w:p>
        </w:tc>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Streamflow Put Strike</w:t>
            </w:r>
          </w:p>
        </w:tc>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Power Call Strike</w:t>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November 2001</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December 2001</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January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February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March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April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May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June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July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August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September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October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November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December 2002</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January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February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March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April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May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June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July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August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September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c>
          <w:tcPr>
            <w:tcW w:w="191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October 2003</w:t>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1917"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bl>
    <w:p>
      <w:pPr>
        <w:pStyle w:val="Normal"/>
        <w:ind w:hanging="1620" w:start="1620" w:end="0"/>
        <w:rPr>
          <w:rFonts w:ascii="Arial" w:hAnsi="Arial" w:cs="Arial"/>
          <w:sz w:val="20"/>
        </w:rPr>
      </w:pPr>
      <w:r>
        <w:rPr>
          <w:rFonts w:cs="Arial" w:ascii="Arial" w:hAnsi="Arial"/>
          <w:sz w:val="20"/>
        </w:rPr>
      </w:r>
    </w:p>
    <w:p>
      <w:pPr>
        <w:pStyle w:val="Normal"/>
        <w:ind w:hanging="1620" w:start="1620" w:end="0"/>
        <w:rPr>
          <w:rFonts w:ascii="Arial" w:hAnsi="Arial" w:cs="Arial"/>
          <w:sz w:val="20"/>
        </w:rPr>
      </w:pPr>
      <w:r>
        <w:rPr>
          <w:rFonts w:cs="Arial" w:ascii="Arial" w:hAnsi="Arial"/>
          <w:sz w:val="20"/>
        </w:rPr>
        <w:t xml:space="preserve">Reference </w:t>
      </w:r>
    </w:p>
    <w:p>
      <w:pPr>
        <w:pStyle w:val="Normal"/>
        <w:ind w:hanging="1620" w:start="1620" w:end="0"/>
        <w:rPr>
          <w:rFonts w:ascii="Arial" w:hAnsi="Arial" w:cs="Arial"/>
          <w:sz w:val="20"/>
        </w:rPr>
      </w:pPr>
      <w:r>
        <w:rPr>
          <w:rFonts w:cs="Arial" w:ascii="Arial" w:hAnsi="Arial"/>
          <w:sz w:val="20"/>
        </w:rPr>
        <w:t>Indices:</w:t>
        <w:tab/>
        <w:t>Streamflow Index: KCFS flow from Grand Coolee</w:t>
      </w:r>
    </w:p>
    <w:p>
      <w:pPr>
        <w:pStyle w:val="Normal"/>
        <w:ind w:start="1620" w:end="0"/>
        <w:rPr>
          <w:rFonts w:ascii="Arial" w:hAnsi="Arial" w:cs="Arial"/>
          <w:sz w:val="20"/>
        </w:rPr>
      </w:pPr>
      <w:r>
        <w:rPr>
          <w:rFonts w:cs="Arial" w:ascii="Arial" w:hAnsi="Arial"/>
          <w:sz w:val="20"/>
        </w:rPr>
        <w:t>Power Price Index: Standard published day ahead prices for MIDC</w:t>
      </w:r>
    </w:p>
    <w:p>
      <w:pPr>
        <w:pStyle w:val="Normal"/>
        <w:ind w:start="1620" w:end="0"/>
        <w:rPr>
          <w:rFonts w:ascii="Arial" w:hAnsi="Arial" w:cs="Arial"/>
          <w:sz w:val="20"/>
        </w:rPr>
      </w:pPr>
      <w:r>
        <w:rPr>
          <w:rFonts w:cs="Arial" w:ascii="Arial" w:hAnsi="Arial"/>
          <w:sz w:val="20"/>
        </w:rPr>
      </w:r>
    </w:p>
    <w:p>
      <w:pPr>
        <w:pStyle w:val="BodyTextIndent"/>
        <w:ind w:hanging="1620" w:start="1620" w:end="0"/>
        <w:rPr>
          <w:rFonts w:ascii="Arial" w:hAnsi="Arial" w:cs="Arial"/>
        </w:rPr>
      </w:pPr>
      <w:r>
        <w:rPr>
          <w:rFonts w:cs="Arial" w:ascii="Arial" w:hAnsi="Arial"/>
        </w:rPr>
        <w:t>Premium:</w:t>
        <w:tab/>
        <w:t xml:space="preserve">An annual Premium of $ XYZ is payable fifteen days in advance of each Contract Year during the Contract Term. </w:t>
      </w:r>
    </w:p>
    <w:p>
      <w:pPr>
        <w:pStyle w:val="BodyTextIndent"/>
        <w:ind w:hanging="1620" w:start="1620" w:end="0"/>
        <w:rPr>
          <w:rFonts w:ascii="Arial" w:hAnsi="Arial" w:cs="Arial"/>
        </w:rPr>
      </w:pPr>
      <w:r>
        <w:rPr>
          <w:rFonts w:cs="Arial" w:ascii="Arial" w:hAnsi="Arial"/>
        </w:rPr>
      </w:r>
    </w:p>
    <w:p>
      <w:pPr>
        <w:pStyle w:val="BodyTextIndent"/>
        <w:ind w:hanging="1620" w:start="1620" w:end="0"/>
        <w:rPr>
          <w:rFonts w:ascii="Arial" w:hAnsi="Arial" w:cs="Arial"/>
        </w:rPr>
      </w:pPr>
      <w:r>
        <w:rPr>
          <w:rFonts w:cs="Arial" w:ascii="Arial" w:hAnsi="Arial"/>
        </w:rPr>
        <w:t>Payout:</w:t>
        <w:tab/>
        <w:t>Seller will make payouts on a Quarterly basis, based on the sum of daily payoffs</w:t>
      </w:r>
    </w:p>
    <w:p>
      <w:pPr>
        <w:pStyle w:val="BodyTextIndent"/>
        <w:ind w:hanging="1620" w:start="1620" w:end="0"/>
        <w:rPr>
          <w:rFonts w:ascii="Arial" w:hAnsi="Arial" w:cs="Arial"/>
        </w:rPr>
      </w:pPr>
      <w:r>
        <w:rPr>
          <w:rFonts w:cs="Arial" w:ascii="Arial" w:hAnsi="Arial"/>
        </w:rPr>
      </w:r>
    </w:p>
    <w:p>
      <w:pPr>
        <w:pStyle w:val="BodyTextIndent"/>
        <w:ind w:hanging="1620" w:start="1620" w:end="0"/>
        <w:rPr>
          <w:rFonts w:ascii="Arial" w:hAnsi="Arial" w:cs="Arial"/>
        </w:rPr>
      </w:pPr>
      <w:r>
        <w:rPr>
          <w:rFonts w:cs="Arial" w:ascii="Arial" w:hAnsi="Arial"/>
        </w:rPr>
      </w:r>
    </w:p>
    <w:p>
      <w:pPr>
        <w:pStyle w:val="BodyTextIndent"/>
        <w:ind w:hanging="0" w:start="0" w:end="0"/>
        <w:rPr>
          <w:sz w:val="16"/>
        </w:rPr>
      </w:pPr>
      <w:r>
        <w:rPr>
          <w:sz w:val="16"/>
        </w:rPr>
        <w:t>The prices in this proposal are subject to change until a final agreement is reached. This proposal is for discussion purposes only to facilitate the negotiation, preparation, and execution of definitive agreements. This is not an offer or commitment of Enron Global Markets LLC (“EGM”) or any of its affiliates to enter into any transaction. The transaction described here in is subject to further review and approval of EGM and Counterparty management, and execution of definitive written agreements containing all appropriate provisions, including those related to credit and limitation of damages and remedies.</w:t>
      </w:r>
    </w:p>
    <w:sectPr>
      <w:type w:val="nextPage"/>
      <w:pgSz w:w="12240" w:h="15840"/>
      <w:pgMar w:left="1728"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8"/>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4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0"/>
    </w:rPr>
  </w:style>
  <w:style w:type="paragraph" w:styleId="BodyTextIndent2">
    <w:name w:val="Body Text Indent 2"/>
    <w:basedOn w:val="Normal"/>
    <w:qFormat/>
    <w:pPr>
      <w:ind w:hanging="1620" w:start="1620" w:end="0"/>
    </w:pPr>
    <w:rPr>
      <w:rFonts w:ascii="Arial" w:hAnsi="Arial" w:cs="Arial"/>
      <w:sz w:val="20"/>
    </w:rPr>
  </w:style>
  <w:style w:type="paragraph" w:styleId="BodyTextIndent3">
    <w:name w:val="Body Text Indent 3"/>
    <w:basedOn w:val="Normal"/>
    <w:qFormat/>
    <w:pPr>
      <w:ind w:hanging="0" w:start="16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2001-10-02T16:40:00Z</dcterms:created>
  <dc:creator>Sanjeev Khanna</dc:creator>
  <dc:description/>
  <dc:language>en-CA</dc:language>
  <cp:lastModifiedBy>Sanjeev K Khanna</cp:lastModifiedBy>
  <cp:lastPrinted>2001-08-16T14:21:00Z</cp:lastPrinted>
  <dcterms:modified xsi:type="dcterms:W3CDTF">2001-10-02T17:19:00Z</dcterms:modified>
  <cp:revision>4</cp:revision>
  <dc:subject/>
  <dc:title>ENRON CORP</dc:title>
</cp:coreProperties>
</file>