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Cash Flow Analysis</w:t>
      </w:r>
    </w:p>
    <w:p>
      <w:pPr>
        <w:pStyle w:val="Normal"/>
        <w:rPr/>
      </w:pPr>
      <w:r>
        <w:rPr/>
        <w:t>The NPV of the project ranged from $18.52M @ 5.20% to ($7.60M) @ 6.45%.  If the discount rate approaches the high end of this range, it is obvious that we would not have enough cash to meet our obligations on the bonds.  However, it is not clear whether we would be able to meet our cash flow needs at the assumed risk free-rate of $5.70%.  As shown in Exhibit G, if all assumptions are correct and the interest rate does not fluctuate, then we will be able to meet all cash flow needs.  In reality, we know that there will be some fluctuation in the risk-free over the next 20.  Therefore, there is a good chance that we will need to dip into the general funds to meet our cash obligations.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2000-12-05T04:46:00Z</dcterms:created>
  <dc:creator>Fair, Isaac and Company Inc.</dc:creator>
  <dc:description/>
  <dc:language>en-CA</dc:language>
  <cp:lastModifiedBy>Fair, Isaac and Company Inc.</cp:lastModifiedBy>
  <dcterms:modified xsi:type="dcterms:W3CDTF">2000-12-05T14:56:00Z</dcterms:modified>
  <cp:revision>2</cp:revision>
  <dc:subject/>
  <dc:title>Cash Flow Analysis</dc:title>
</cp:coreProperties>
</file>