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Case 26-1, Global Industries, AG</w:t>
      </w:r>
    </w:p>
    <w:p>
      <w:pPr>
        <w:pStyle w:val="Normal"/>
        <w:rPr/>
      </w:pPr>
      <w:r>
        <w:rPr/>
      </w:r>
    </w:p>
    <w:p>
      <w:pPr>
        <w:pStyle w:val="Normal"/>
        <w:rPr/>
      </w:pPr>
      <w:r>
        <w:rPr/>
        <w:t>Q1</w:t>
        <w:tab/>
        <w:t>How should Global Industries account for contingency losses in fiscal years 1994 and 1995?</w:t>
      </w:r>
    </w:p>
    <w:p>
      <w:pPr>
        <w:pStyle w:val="Normal"/>
        <w:rPr/>
      </w:pPr>
      <w:r>
        <w:rPr/>
      </w:r>
    </w:p>
    <w:p>
      <w:pPr>
        <w:pStyle w:val="Normal"/>
        <w:rPr/>
      </w:pPr>
      <w:r>
        <w:rPr/>
        <w:t>According to German GAAP, accruals and provisions may be recorded for uncertain liabilities and loss contingencies.  The application of this accounting standard is influenced by the requirement that prudence be observed.  All anticipated risks and losses must be recognized and recognition of unrealized profits is not allowed.  The concept requires an item by item approach to valuation.</w:t>
      </w:r>
    </w:p>
    <w:p>
      <w:pPr>
        <w:pStyle w:val="Normal"/>
        <w:rPr/>
      </w:pPr>
      <w:r>
        <w:rPr/>
      </w:r>
    </w:p>
    <w:p>
      <w:pPr>
        <w:pStyle w:val="Normal"/>
        <w:rPr/>
      </w:pPr>
      <w:r>
        <w:rPr/>
        <w:t>All contingency items mentioned in the meetings are listed below with a comparison of how they were actually accounted for and what German GAAP recommends: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Item</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Global Industries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German GAAP</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Accounts receivables losses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 of receivables based on new marketing program.  No customer segmentation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More prudence required since new program carries more than 1% additional risk (one percent over the max provision prior to the new program (4%)).  Other companies in the same space reserve 7%.  Customer segmentation is recommended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Warranty Obligations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 basis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Accrual for contingency is necessary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Catastrophe</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Currently no provision for catastrophe, though it is under consideration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Prudence should be the guideline here, according to German GAAP, provision may be necessary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Litigation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General reserve set aside for contingencies.  Reserve is affected by current suits and potential suits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Litigation contingency needs to itemized and accounted for on a case by case basis.  Only actual litigation should be accounted for - not the potential of a suit in the future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Appropriation of assets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contingency accrued</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Contingency should have been accrued in 1994 when General Mantuto took over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Loss due to customer default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loss will be charged against bad debt reserves.  If the bad debt exceeds the reserve, Global Industries may be tempted to use their "miscellaneous reserve" fund</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loss will be charged against bad debt reserves.  If the bad debt exceeds the reserve, Global Industries should take a hit on income and charge to cash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pPr>
      <w:r>
        <w:rPr/>
      </w:r>
    </w:p>
    <w:p>
      <w:pPr>
        <w:pStyle w:val="Normal"/>
        <w:rPr/>
      </w:pPr>
      <w:r>
        <w:rPr/>
        <w:t>Q2</w:t>
        <w:tab/>
        <w:t>Do you agree with the comments related to recognition and measurement of contingency losses expressed in the case?</w:t>
      </w:r>
    </w:p>
    <w:p>
      <w:pPr>
        <w:pStyle w:val="Normal"/>
        <w:rPr/>
      </w:pPr>
      <w:r>
        <w:rPr/>
      </w:r>
    </w:p>
    <w:p>
      <w:pPr>
        <w:pStyle w:val="Normal"/>
        <w:rPr/>
      </w:pPr>
      <w:r>
        <w:rPr/>
        <w:t>The provision for accounts receivable was clearly underestimated.  The new marketing program introduced significant risk to collection of customer payments.  The case states that the marketing program was targeted at small to medium-sized companies - these had the greatest difficulty paying for products.  The contingency for bad debt was only increased by one percent - from 4% to 5% - however, this number was not well explained and seemed arbitrary.</w:t>
      </w:r>
    </w:p>
    <w:p>
      <w:pPr>
        <w:pStyle w:val="Normal"/>
        <w:rPr/>
      </w:pPr>
      <w:r>
        <w:rPr/>
      </w:r>
    </w:p>
    <w:p>
      <w:pPr>
        <w:pStyle w:val="Normal"/>
        <w:rPr/>
      </w:pPr>
      <w:r>
        <w:rPr/>
        <w:t>According to German GAAP, contingency reserves need to be itemized.  Global Industries has a "miscellaneous reserve."  This seems contrary to an itemized treatment of contingencies.  It seems the company is using this reserve as a cushion to smooth earnings.  If the company was truly itemizing contingencies, it would not need a miscellaneous reserve.</w:t>
      </w:r>
    </w:p>
    <w:p>
      <w:pPr>
        <w:pStyle w:val="Normal"/>
        <w:rPr/>
      </w:pPr>
      <w:r>
        <w:rPr/>
      </w:r>
    </w:p>
    <w:p>
      <w:pPr>
        <w:pStyle w:val="Normal"/>
        <w:rPr/>
      </w:pPr>
      <w:r>
        <w:rPr/>
        <w:t>According to U.S. GAAP, the insurance arm of the company, Property Insurance Group, is not subject to contingency reserves.  It is unclear whether German GAAP has a similar guideline, but it does seem that given the nature of future catastrophes - substantial deviations over the short run - contingencies should not be made for this part of the business.</w:t>
      </w:r>
    </w:p>
    <w:p>
      <w:pPr>
        <w:pStyle w:val="Normal"/>
        <w:rPr/>
      </w:pPr>
      <w:r>
        <w:rPr/>
      </w:r>
    </w:p>
    <w:p>
      <w:pPr>
        <w:pStyle w:val="Normal"/>
        <w:rPr/>
      </w:pPr>
      <w:r>
        <w:rPr/>
        <w:t>The litigation contingencies were not accounted for in an itemized manner that matched the accounting period with the litigation period.  A general fund was referred to relating to litigation.  Global Industries should be itemizing these costs separately and should not account for potential suits in the future such as the patent infringement suit.</w:t>
      </w:r>
    </w:p>
    <w:p>
      <w:pPr>
        <w:pStyle w:val="Normal"/>
        <w:rPr/>
      </w:pPr>
      <w:r>
        <w:rPr/>
      </w:r>
    </w:p>
    <w:p>
      <w:pPr>
        <w:pStyle w:val="Normal"/>
        <w:rPr/>
      </w:pPr>
      <w:r>
        <w:rPr/>
        <w:t>It may have been more prudent for Global Industries to prepare a contingency in 1994 or early 1995 for the appropriation of assets by General Matuto.  He took power in 1994 and it was known that he would nationalize major industries.  Global Industries did not itemize this contingency as German GAAP mandates, instead, they plan to rely on their "existing reserves."</w:t>
      </w:r>
    </w:p>
    <w:p>
      <w:pPr>
        <w:pStyle w:val="Normal"/>
        <w:rPr>
          <w:rFonts w:eastAsia="Arial"/>
        </w:rPr>
      </w:pPr>
      <w:r>
        <w:rPr>
          <w:rFonts w:eastAsia="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2000-11-21T00:30:00Z</dcterms:created>
  <dc:creator>Kimberly Kupiecki</dc:creator>
  <dc:description/>
  <dc:language>en-CA</dc:language>
  <cp:lastModifiedBy>Kimberly Kupiecki</cp:lastModifiedBy>
  <dcterms:modified xsi:type="dcterms:W3CDTF">2000-11-21T01:38:00Z</dcterms:modified>
  <cp:revision>6</cp:revision>
  <dc:subject/>
  <dc:title>Case 26-1, Global Industries, AG</dc:title>
</cp:coreProperties>
</file>