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spacing w:before="240" w:after="60"/>
        <w:ind w:hanging="0" w:start="0"/>
        <w:rPr>
          <w:rFonts w:ascii="Times New Roman" w:hAnsi="Times New Roman" w:cs="Times New Roman"/>
          <w:sz w:val="20"/>
        </w:rPr>
      </w:pPr>
      <w:r>
        <w:rPr>
          <w:rFonts w:cs="Times New Roman" w:ascii="Times New Roman" w:hAnsi="Times New Roman"/>
          <w:sz w:val="20"/>
        </w:rPr>
        <w:t>Case 26-1, Global Industries, AG/E220</w:t>
      </w:r>
    </w:p>
    <w:p>
      <w:pPr>
        <w:pStyle w:val="Normal"/>
        <w:rPr>
          <w:rFonts w:ascii="Times New Roman" w:hAnsi="Times New Roman" w:cs="Times New Roman"/>
          <w:sz w:val="20"/>
        </w:rPr>
      </w:pPr>
      <w:r>
        <w:rPr>
          <w:rFonts w:cs="Times New Roman" w:ascii="Times New Roman" w:hAnsi="Times New Roman"/>
          <w:sz w:val="20"/>
        </w:rPr>
        <w:t>Jeff Dasovich</w:t>
      </w:r>
    </w:p>
    <w:p>
      <w:pPr>
        <w:pStyle w:val="BodyTextIndent"/>
        <w:ind w:hanging="0" w:start="0" w:end="0"/>
        <w:rPr>
          <w:i w:val="false"/>
          <w:i w:val="false"/>
        </w:rPr>
      </w:pPr>
      <w:r>
        <w:rPr>
          <w:i w:val="false"/>
        </w:rPr>
        <w:t>James Jackson</w:t>
      </w:r>
    </w:p>
    <w:p>
      <w:pPr>
        <w:pStyle w:val="BodyTextIndent"/>
        <w:ind w:hanging="0" w:start="0" w:end="0"/>
        <w:rPr>
          <w:i w:val="false"/>
          <w:i w:val="false"/>
        </w:rPr>
      </w:pPr>
      <w:r>
        <w:rPr>
          <w:i w:val="false"/>
        </w:rPr>
        <w:t>Kimberly Kupiecki</w:t>
      </w:r>
    </w:p>
    <w:p>
      <w:pPr>
        <w:pStyle w:val="BodyTextIndent"/>
        <w:ind w:hanging="0" w:start="0" w:end="0"/>
        <w:rPr>
          <w:i w:val="false"/>
          <w:i w:val="false"/>
        </w:rPr>
      </w:pPr>
      <w:r>
        <w:rPr>
          <w:i w:val="false"/>
        </w:rPr>
        <w:t>Christine Piesco</w:t>
      </w:r>
    </w:p>
    <w:p>
      <w:pPr>
        <w:pStyle w:val="BodyTextIndent"/>
        <w:ind w:hanging="0" w:start="0" w:end="0"/>
        <w:rPr>
          <w:i w:val="false"/>
          <w:i w:val="false"/>
        </w:rPr>
      </w:pPr>
      <w:r>
        <w:rPr>
          <w:i w:val="false"/>
        </w:rPr>
        <w:t>Dylan Windham</w:t>
      </w:r>
    </w:p>
    <w:p>
      <w:pPr>
        <w:pStyle w:val="Normal"/>
        <w:rPr>
          <w:rFonts w:ascii="Times New Roman" w:hAnsi="Times New Roman" w:cs="Times New Roman"/>
          <w:i/>
          <w:i/>
          <w:sz w:val="20"/>
        </w:rPr>
      </w:pPr>
      <w:r>
        <w:rPr>
          <w:rFonts w:cs="Times New Roman" w:ascii="Times New Roman" w:hAnsi="Times New Roman"/>
          <w:i/>
          <w:sz w:val="20"/>
        </w:rPr>
      </w:r>
    </w:p>
    <w:p>
      <w:pPr>
        <w:pStyle w:val="Normal"/>
        <w:rPr>
          <w:rFonts w:ascii="Times New Roman" w:hAnsi="Times New Roman" w:cs="Times New Roman"/>
          <w:sz w:val="20"/>
        </w:rPr>
      </w:pPr>
      <w:r>
        <w:rPr>
          <w:rFonts w:cs="Times New Roman" w:ascii="Times New Roman" w:hAnsi="Times New Roman"/>
          <w:sz w:val="20"/>
        </w:rPr>
      </w:r>
    </w:p>
    <w:p>
      <w:pPr>
        <w:pStyle w:val="BodyTextIndent"/>
        <w:rPr/>
      </w:pPr>
      <w:r>
        <w:rPr/>
        <w:t>Questions #1:</w:t>
        <w:tab/>
        <w:t>How should Global Industries account for contingency losses in fiscal years 1994 and 1995?</w:t>
      </w:r>
    </w:p>
    <w:p>
      <w:pPr>
        <w:pStyle w:val="Normal"/>
        <w:rPr>
          <w:rFonts w:ascii="Times New Roman" w:hAnsi="Times New Roman" w:cs="Times New Roman"/>
          <w:sz w:val="20"/>
        </w:rPr>
      </w:pPr>
      <w:r>
        <w:rPr>
          <w:rFonts w:cs="Times New Roman" w:ascii="Times New Roman" w:hAnsi="Times New Roman"/>
          <w:sz w:val="20"/>
        </w:rPr>
      </w:r>
    </w:p>
    <w:p>
      <w:pPr>
        <w:pStyle w:val="Normal"/>
        <w:ind w:firstLine="720" w:end="0"/>
        <w:rPr>
          <w:rFonts w:ascii="Times New Roman" w:hAnsi="Times New Roman" w:cs="Times New Roman"/>
          <w:sz w:val="20"/>
        </w:rPr>
      </w:pPr>
      <w:r>
        <w:rPr>
          <w:rFonts w:cs="Times New Roman" w:ascii="Times New Roman" w:hAnsi="Times New Roman"/>
          <w:sz w:val="20"/>
        </w:rPr>
        <w:t>According to German GAAP, accruals and provisions may be recorded for uncertain liabilities and loss contingencies.  The application of this accounting standard is influenced by the requirement that prudence be observed.  All anticipated risks and losses must be recognized and recognition of unrealized profits is not allowed.  The concept requires an item-by-item approach to valuation.</w:t>
      </w:r>
    </w:p>
    <w:p>
      <w:pPr>
        <w:pStyle w:val="Normal"/>
        <w:rPr>
          <w:rFonts w:ascii="Times New Roman" w:hAnsi="Times New Roman" w:cs="Times New Roman"/>
          <w:sz w:val="20"/>
        </w:rPr>
      </w:pPr>
      <w:r>
        <w:rPr>
          <w:rFonts w:cs="Times New Roman" w:ascii="Times New Roman" w:hAnsi="Times New Roman"/>
          <w:sz w:val="20"/>
        </w:rPr>
      </w:r>
    </w:p>
    <w:p>
      <w:pPr>
        <w:pStyle w:val="Normal"/>
        <w:ind w:firstLine="720" w:end="0"/>
        <w:rPr>
          <w:rFonts w:ascii="Times New Roman" w:hAnsi="Times New Roman" w:cs="Times New Roman"/>
          <w:sz w:val="20"/>
        </w:rPr>
      </w:pPr>
      <w:r>
        <w:rPr>
          <w:rFonts w:cs="Times New Roman" w:ascii="Times New Roman" w:hAnsi="Times New Roman"/>
          <w:sz w:val="20"/>
        </w:rPr>
        <w:t>All contingency items mentioned in the meetings are listed below with a comparison of how they were actually accounted for and what German GAAP recommends:</w:t>
      </w:r>
    </w:p>
    <w:p>
      <w:pPr>
        <w:pStyle w:val="Normal"/>
        <w:rPr>
          <w:rFonts w:ascii="Times New Roman" w:hAnsi="Times New Roman" w:cs="Times New Roman"/>
          <w:sz w:val="20"/>
        </w:rPr>
      </w:pPr>
      <w:r>
        <w:rPr>
          <w:rFonts w:cs="Times New Roman" w:ascii="Times New Roman" w:hAnsi="Times New Roman"/>
          <w:sz w:val="20"/>
        </w:rPr>
      </w:r>
    </w:p>
    <w:tbl>
      <w:tblPr>
        <w:tblW w:w="8856" w:type="dxa"/>
        <w:jc w:val="start"/>
        <w:tblInd w:w="0" w:type="dxa"/>
        <w:tblLayout w:type="fixed"/>
        <w:tblCellMar>
          <w:top w:w="0" w:type="dxa"/>
          <w:start w:w="108" w:type="dxa"/>
          <w:bottom w:w="0" w:type="dxa"/>
          <w:end w:w="108" w:type="dxa"/>
        </w:tblCellMar>
      </w:tblPr>
      <w:tblGrid>
        <w:gridCol w:w="1638"/>
        <w:gridCol w:w="3600"/>
        <w:gridCol w:w="3618"/>
      </w:tblGrid>
      <w:tr>
        <w:trPr/>
        <w:tc>
          <w:tcPr>
            <w:tcW w:w="163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bCs/>
                <w:i/>
                <w:i/>
                <w:iCs/>
                <w:sz w:val="20"/>
              </w:rPr>
            </w:pPr>
            <w:r>
              <w:rPr>
                <w:rFonts w:cs="Times New Roman" w:ascii="Times New Roman" w:hAnsi="Times New Roman"/>
                <w:b/>
                <w:bCs/>
                <w:i/>
                <w:iCs/>
                <w:sz w:val="20"/>
              </w:rPr>
              <w:t>Item</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bCs/>
                <w:i/>
                <w:i/>
                <w:iCs/>
                <w:sz w:val="20"/>
              </w:rPr>
            </w:pPr>
            <w:r>
              <w:rPr>
                <w:rFonts w:cs="Times New Roman" w:ascii="Times New Roman" w:hAnsi="Times New Roman"/>
                <w:b/>
                <w:bCs/>
                <w:i/>
                <w:iCs/>
                <w:sz w:val="20"/>
              </w:rPr>
              <w:t>Global Industries</w:t>
            </w:r>
          </w:p>
        </w:tc>
        <w:tc>
          <w:tcPr>
            <w:tcW w:w="361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bCs/>
                <w:i/>
                <w:i/>
                <w:iCs/>
                <w:sz w:val="20"/>
              </w:rPr>
            </w:pPr>
            <w:r>
              <w:rPr>
                <w:rFonts w:cs="Times New Roman" w:ascii="Times New Roman" w:hAnsi="Times New Roman"/>
                <w:b/>
                <w:bCs/>
                <w:i/>
                <w:iCs/>
                <w:sz w:val="20"/>
              </w:rPr>
              <w:t>German GAAP</w:t>
            </w:r>
          </w:p>
        </w:tc>
      </w:tr>
      <w:tr>
        <w:trPr/>
        <w:tc>
          <w:tcPr>
            <w:tcW w:w="1638"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Accounts receivables losses</w:t>
            </w:r>
          </w:p>
        </w:tc>
        <w:tc>
          <w:tcPr>
            <w:tcW w:w="36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 xml:space="preserve">Current practice applies the same bad debt expense policy to all receivables.  Recently increased bad debt expense from 2-4%.  In addition, bad debt expense set at 5% for receivables derived from new marketing program. </w:t>
            </w:r>
          </w:p>
        </w:tc>
        <w:tc>
          <w:tcPr>
            <w:tcW w:w="361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More prudence is required since the new program carries more credit risk than 1% (amount over current policy of 4%). Other companies in the same space employ a reserve of 7%.  7% represents a more reasonable level. Global should disclose.</w:t>
            </w:r>
          </w:p>
        </w:tc>
      </w:tr>
      <w:tr>
        <w:trPr/>
        <w:tc>
          <w:tcPr>
            <w:tcW w:w="163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bCs/>
                <w:sz w:val="20"/>
              </w:rPr>
            </w:pPr>
            <w:r>
              <w:rPr>
                <w:rFonts w:cs="Times New Roman" w:ascii="Times New Roman" w:hAnsi="Times New Roman"/>
                <w:b/>
                <w:bCs/>
                <w:sz w:val="20"/>
              </w:rPr>
              <w:t>Warranty Obligations</w:t>
            </w:r>
          </w:p>
        </w:tc>
        <w:tc>
          <w:tcPr>
            <w:tcW w:w="36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Expensed at time loss occurs—no accrual.</w:t>
            </w:r>
          </w:p>
        </w:tc>
        <w:tc>
          <w:tcPr>
            <w:tcW w:w="361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Global should accrue its warranty obligations.  Little reason to await the staff report.  Global should disclose.</w:t>
            </w:r>
          </w:p>
        </w:tc>
      </w:tr>
      <w:tr>
        <w:trPr/>
        <w:tc>
          <w:tcPr>
            <w:tcW w:w="163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bCs/>
                <w:sz w:val="20"/>
              </w:rPr>
            </w:pPr>
            <w:r>
              <w:rPr>
                <w:rFonts w:cs="Times New Roman" w:ascii="Times New Roman" w:hAnsi="Times New Roman"/>
                <w:b/>
                <w:bCs/>
                <w:sz w:val="20"/>
              </w:rPr>
              <w:t>Catastrophe</w:t>
            </w:r>
          </w:p>
        </w:tc>
        <w:tc>
          <w:tcPr>
            <w:tcW w:w="36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 xml:space="preserve">Property Insurance Group currently expenses premiums for re-insurance.  No reserves currently established for catastrophic losses, and from information provided, it’s unclear whether Global has disclosed the contingency.  Considering a proposal to create a reserve to cover catastrophic losses. </w:t>
            </w:r>
          </w:p>
        </w:tc>
        <w:tc>
          <w:tcPr>
            <w:tcW w:w="361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 xml:space="preserve">Assuming that German GAAP are comparable to US GAAP, Global could not accrue estimated losses related to future catastrophes.  Global should record those losses as they occur.  </w:t>
            </w:r>
          </w:p>
        </w:tc>
      </w:tr>
      <w:tr>
        <w:trPr/>
        <w:tc>
          <w:tcPr>
            <w:tcW w:w="163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bCs/>
                <w:sz w:val="20"/>
              </w:rPr>
            </w:pPr>
            <w:r>
              <w:rPr>
                <w:rFonts w:cs="Times New Roman" w:ascii="Times New Roman" w:hAnsi="Times New Roman"/>
                <w:b/>
                <w:bCs/>
                <w:sz w:val="20"/>
              </w:rPr>
              <w:t>Litigation</w:t>
            </w:r>
          </w:p>
        </w:tc>
        <w:tc>
          <w:tcPr>
            <w:tcW w:w="36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 xml:space="preserve">General reserve used to address current and future litigation contingencies. </w:t>
            </w:r>
          </w:p>
        </w:tc>
        <w:tc>
          <w:tcPr>
            <w:tcW w:w="361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Reserves should correspond to specific litigation contingency, rather than act as a “catch-all” general reserve to cover the potential for any and all suits that might arise.  Reserves to cover specific litigation should be accounted for on a case-by-case basis. 1) The discrimination suit is too uncertain to account for in the reporting period (can’t meet both conditions in FASB #5), but should be disclosed.  2) The product liability suit should be accured and disclosed since both conditions of FASB No. 5 are sufficiently met.  3) The patent infringement suit should neither be disclosed nor accrued, but the infringement should be halted.</w:t>
            </w:r>
          </w:p>
        </w:tc>
      </w:tr>
      <w:tr>
        <w:trPr/>
        <w:tc>
          <w:tcPr>
            <w:tcW w:w="1638"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Appropriation of assets</w:t>
            </w:r>
          </w:p>
        </w:tc>
        <w:tc>
          <w:tcPr>
            <w:tcW w:w="36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No contingency accrued.</w:t>
            </w:r>
          </w:p>
        </w:tc>
        <w:tc>
          <w:tcPr>
            <w:tcW w:w="361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Global should accrue and disclose the expropriation, since both conditions of FASB #5 are met. Global should report the contingency in the current accounting period since both conditions were met prior to release of the annual report.</w:t>
            </w:r>
          </w:p>
        </w:tc>
      </w:tr>
      <w:tr>
        <w:trPr/>
        <w:tc>
          <w:tcPr>
            <w:tcW w:w="163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bCs/>
                <w:sz w:val="20"/>
              </w:rPr>
            </w:pPr>
            <w:r>
              <w:rPr>
                <w:rFonts w:cs="Times New Roman" w:ascii="Times New Roman" w:hAnsi="Times New Roman"/>
                <w:b/>
                <w:bCs/>
                <w:sz w:val="20"/>
              </w:rPr>
              <w:t>Loss due to customer default</w:t>
            </w:r>
          </w:p>
        </w:tc>
        <w:tc>
          <w:tcPr>
            <w:tcW w:w="36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Given Global’s penchant for using reserves to smooth the effects on income of just about every contingency, Global might try to dip into “reserves” to cover the bad debt.</w:t>
            </w:r>
          </w:p>
        </w:tc>
        <w:tc>
          <w:tcPr>
            <w:tcW w:w="361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 xml:space="preserve">Global should charge the loss against bad debt reserves.  If the bad debt exceeds the reserve, Global Industries should reduce income by the difference.  Global should include the loss in this reporting period since the company could have known about the customer’s financial position. </w:t>
            </w:r>
          </w:p>
        </w:tc>
      </w:tr>
    </w:tbl>
    <w:p>
      <w:pPr>
        <w:pStyle w:val="Normal"/>
        <w:rPr>
          <w:rFonts w:ascii="Times New Roman" w:hAnsi="Times New Roman" w:cs="Times New Roman"/>
          <w:sz w:val="20"/>
        </w:rPr>
      </w:pPr>
      <w:r>
        <w:rPr>
          <w:rFonts w:cs="Times New Roman" w:ascii="Times New Roman" w:hAnsi="Times New Roman"/>
          <w:sz w:val="20"/>
        </w:rPr>
      </w:r>
    </w:p>
    <w:p>
      <w:pPr>
        <w:pStyle w:val="BodyTextIndent"/>
        <w:rPr/>
      </w:pPr>
      <w:r>
        <w:rPr/>
        <w:t>Questions #2:</w:t>
        <w:tab/>
        <w:t>Do you agree with the comments related to recognition and measurement of contingency losses expressed in the case?</w:t>
      </w:r>
    </w:p>
    <w:p>
      <w:pPr>
        <w:pStyle w:val="Normal"/>
        <w:rPr>
          <w:rFonts w:ascii="Times New Roman" w:hAnsi="Times New Roman" w:cs="Times New Roman"/>
          <w:sz w:val="20"/>
        </w:rPr>
      </w:pPr>
      <w:r>
        <w:rPr>
          <w:rFonts w:cs="Times New Roman" w:ascii="Times New Roman" w:hAnsi="Times New Roman"/>
          <w:sz w:val="20"/>
        </w:rPr>
      </w:r>
    </w:p>
    <w:p>
      <w:pPr>
        <w:pStyle w:val="Heading1"/>
        <w:ind w:hanging="0" w:start="0"/>
        <w:rPr/>
      </w:pPr>
      <w:r>
        <w:rPr/>
        <w:t>Bad Debt Expense and Warranties</w:t>
      </w:r>
    </w:p>
    <w:p>
      <w:pPr>
        <w:pStyle w:val="Normal"/>
        <w:ind w:firstLine="720" w:end="0"/>
        <w:rPr>
          <w:rFonts w:ascii="Times New Roman" w:hAnsi="Times New Roman" w:cs="Times New Roman"/>
          <w:sz w:val="20"/>
        </w:rPr>
      </w:pPr>
      <w:r>
        <w:rPr>
          <w:rFonts w:cs="Times New Roman" w:ascii="Times New Roman" w:hAnsi="Times New Roman"/>
          <w:sz w:val="20"/>
        </w:rPr>
      </w:r>
    </w:p>
    <w:p>
      <w:pPr>
        <w:pStyle w:val="Normal"/>
        <w:ind w:firstLine="720" w:end="0"/>
        <w:rPr>
          <w:rFonts w:ascii="Times New Roman" w:hAnsi="Times New Roman" w:cs="Times New Roman"/>
          <w:sz w:val="20"/>
        </w:rPr>
      </w:pPr>
      <w:r>
        <w:rPr>
          <w:rFonts w:cs="Times New Roman" w:ascii="Times New Roman" w:hAnsi="Times New Roman"/>
          <w:sz w:val="20"/>
        </w:rPr>
        <w:t>In general, Global’s overall approach to contingencies is to create a reserve that it can draw upon when needed to account for contigencies.  Global’s overriding concern regarding contingencies is how to manage contingencies in a way that permits Global to smooth and manage earnings.  According to German GAAP, contingency reserves need to be itemized.  Global Industries has a "miscellaneous reserve."  This seems contrary to an itemized treatment of contingencies.  The company uses the reserve as a cushion to smooth earnings.  If the company itemized contingencies, it would not need a miscellaneous reserve.</w:t>
      </w:r>
    </w:p>
    <w:p>
      <w:pPr>
        <w:pStyle w:val="Normal"/>
        <w:ind w:firstLine="720" w:end="0"/>
        <w:rPr>
          <w:rFonts w:ascii="Times New Roman" w:hAnsi="Times New Roman" w:cs="Times New Roman"/>
          <w:sz w:val="20"/>
        </w:rPr>
      </w:pPr>
      <w:r>
        <w:rPr>
          <w:rFonts w:cs="Times New Roman" w:ascii="Times New Roman" w:hAnsi="Times New Roman"/>
          <w:sz w:val="20"/>
        </w:rPr>
      </w:r>
    </w:p>
    <w:p>
      <w:pPr>
        <w:pStyle w:val="Normal"/>
        <w:ind w:firstLine="720" w:end="0"/>
        <w:rPr>
          <w:rFonts w:ascii="Times New Roman" w:hAnsi="Times New Roman" w:cs="Times New Roman"/>
          <w:sz w:val="20"/>
        </w:rPr>
      </w:pPr>
      <w:r>
        <w:rPr>
          <w:rFonts w:cs="Times New Roman" w:ascii="Times New Roman" w:hAnsi="Times New Roman"/>
          <w:sz w:val="20"/>
        </w:rPr>
        <w:t>The provision for accounts receivable was clearly underestimated.  The new marketing program introduced significant risk to collection of customer payments.  The case states that the marketing program was targeted at small to medium-sized companies - these had the greatest difficulty paying for products.  The contingency for bad debt was only increased by one percent - from 4% to 5% - however, this number was not well explained and seemed arbitrary.  Moreover, Global groups all receivables together rather than differentiate receivables among customer segments.  It would be considerably more accurate to differentiate receivables by groups, which would likely result in a figure closer to 7%.  In addition, the discussion regarding which policy to adopt for warranties seemed much more preoccupied with the ability to “smooth” earnings than with accurate financial reporting.</w:t>
      </w:r>
    </w:p>
    <w:p>
      <w:pPr>
        <w:pStyle w:val="Normal"/>
        <w:rPr>
          <w:rFonts w:ascii="Times New Roman" w:hAnsi="Times New Roman" w:cs="Times New Roman"/>
          <w:sz w:val="20"/>
        </w:rPr>
      </w:pPr>
      <w:r>
        <w:rPr>
          <w:rFonts w:cs="Times New Roman" w:ascii="Times New Roman" w:hAnsi="Times New Roman"/>
          <w:sz w:val="20"/>
        </w:rPr>
      </w:r>
    </w:p>
    <w:p>
      <w:pPr>
        <w:pStyle w:val="Heading1"/>
        <w:ind w:hanging="0" w:start="0"/>
        <w:rPr/>
      </w:pPr>
      <w:r>
        <w:rPr/>
        <w:t>The Property Insurance Group</w:t>
      </w:r>
    </w:p>
    <w:p>
      <w:pPr>
        <w:pStyle w:val="Normal"/>
        <w:ind w:firstLine="720" w:end="0"/>
        <w:rPr>
          <w:rFonts w:ascii="Times New Roman" w:hAnsi="Times New Roman" w:cs="Times New Roman"/>
          <w:sz w:val="20"/>
        </w:rPr>
      </w:pPr>
      <w:r>
        <w:rPr>
          <w:rFonts w:cs="Times New Roman" w:ascii="Times New Roman" w:hAnsi="Times New Roman"/>
          <w:sz w:val="20"/>
        </w:rPr>
      </w:r>
    </w:p>
    <w:p>
      <w:pPr>
        <w:pStyle w:val="Normal"/>
        <w:ind w:firstLine="720" w:end="0"/>
        <w:rPr>
          <w:rFonts w:ascii="Times New Roman" w:hAnsi="Times New Roman" w:cs="Times New Roman"/>
          <w:sz w:val="20"/>
        </w:rPr>
      </w:pPr>
      <w:r>
        <w:rPr>
          <w:rFonts w:cs="Times New Roman" w:ascii="Times New Roman" w:hAnsi="Times New Roman"/>
          <w:sz w:val="20"/>
        </w:rPr>
        <w:t xml:space="preserve">According to U.S. GAAP, the insurance arm of the company, Property Insurance Group, should not accrue estimated losses related to future catastrophes.  It is unclear whether German GAAP has a similar guideline, but assuming that German GAAP are similar to US GAAP, neither accrual nor reserves is allowed.  </w:t>
      </w:r>
    </w:p>
    <w:p>
      <w:pPr>
        <w:pStyle w:val="Normal"/>
        <w:ind w:firstLine="720" w:end="0"/>
        <w:rPr>
          <w:rFonts w:ascii="Times New Roman" w:hAnsi="Times New Roman" w:cs="Times New Roman"/>
          <w:sz w:val="20"/>
        </w:rPr>
      </w:pPr>
      <w:r>
        <w:rPr>
          <w:rFonts w:cs="Times New Roman" w:ascii="Times New Roman" w:hAnsi="Times New Roman"/>
          <w:sz w:val="20"/>
        </w:rPr>
      </w:r>
    </w:p>
    <w:p>
      <w:pPr>
        <w:pStyle w:val="Normal"/>
        <w:ind w:firstLine="720" w:end="0"/>
        <w:rPr>
          <w:rFonts w:ascii="Times New Roman" w:hAnsi="Times New Roman" w:cs="Times New Roman"/>
          <w:sz w:val="20"/>
        </w:rPr>
      </w:pPr>
      <w:r>
        <w:rPr>
          <w:rFonts w:cs="Times New Roman" w:ascii="Times New Roman" w:hAnsi="Times New Roman"/>
          <w:sz w:val="20"/>
        </w:rPr>
        <w:t>The Global executive claims that catastrophies are “certain” events and therefore should not be viewed as contingencies.  This is incorrect, since other items, such as bad debt expense, could also be viewed as “certain.”  In sum, under this view, very few items would classify as contingenciesat all.  Equally misguided is the executive’s suggestion that Global ought to accrue catastrophic costs as revenue (premiums) is recorded.  We disagree.  The executive asserts that firms can estimate catastrophic losses as easily as it can estimate can estimate cost of goods sold, or salary costs, which seems very unlikely, at least with respect to near term estimates of catastrophic losses.</w:t>
      </w:r>
    </w:p>
    <w:p>
      <w:pPr>
        <w:pStyle w:val="Normal"/>
        <w:ind w:firstLine="720" w:end="0"/>
        <w:rPr>
          <w:rFonts w:ascii="Times New Roman" w:hAnsi="Times New Roman" w:cs="Times New Roman"/>
          <w:sz w:val="20"/>
        </w:rPr>
      </w:pPr>
      <w:r>
        <w:rPr>
          <w:rFonts w:cs="Times New Roman" w:ascii="Times New Roman" w:hAnsi="Times New Roman"/>
          <w:sz w:val="20"/>
        </w:rPr>
      </w:r>
    </w:p>
    <w:p>
      <w:pPr>
        <w:pStyle w:val="Normal"/>
        <w:ind w:firstLine="720" w:end="0"/>
        <w:rPr>
          <w:rFonts w:ascii="Times New Roman" w:hAnsi="Times New Roman" w:cs="Times New Roman"/>
          <w:sz w:val="20"/>
        </w:rPr>
      </w:pPr>
      <w:r>
        <w:rPr>
          <w:rFonts w:cs="Times New Roman" w:ascii="Times New Roman" w:hAnsi="Times New Roman"/>
          <w:sz w:val="20"/>
        </w:rPr>
        <w:t>In the same discussion, another executive implies that, from a financial reporting perspective, premiums for reinsurance and accrual of estimated losses are similar since in both cases “income is reduced prior to the catastrophe.”  This is a clear case of mixing accounting apples and oranges.  There is little similarity, if any, between the premium paid to reduce the risks of catastrophic events an estimates of the costs of future, uncertain catastrophic events.</w:t>
      </w:r>
    </w:p>
    <w:p>
      <w:pPr>
        <w:pStyle w:val="Normal"/>
        <w:rPr>
          <w:rFonts w:ascii="Times New Roman" w:hAnsi="Times New Roman" w:cs="Times New Roman"/>
          <w:sz w:val="20"/>
        </w:rPr>
      </w:pPr>
      <w:r>
        <w:rPr>
          <w:rFonts w:cs="Times New Roman" w:ascii="Times New Roman" w:hAnsi="Times New Roman"/>
          <w:sz w:val="20"/>
        </w:rPr>
      </w:r>
    </w:p>
    <w:p>
      <w:pPr>
        <w:pStyle w:val="Heading1"/>
        <w:ind w:hanging="0" w:start="0"/>
        <w:rPr/>
      </w:pPr>
      <w:r>
        <w:rPr/>
        <w:t>Litigation</w:t>
      </w:r>
    </w:p>
    <w:p>
      <w:pPr>
        <w:pStyle w:val="Normal"/>
        <w:ind w:firstLine="720" w:end="0"/>
        <w:rPr>
          <w:rFonts w:ascii="Times New Roman" w:hAnsi="Times New Roman" w:cs="Times New Roman"/>
          <w:sz w:val="20"/>
        </w:rPr>
      </w:pPr>
      <w:r>
        <w:rPr>
          <w:rFonts w:cs="Times New Roman" w:ascii="Times New Roman" w:hAnsi="Times New Roman"/>
          <w:sz w:val="20"/>
        </w:rPr>
      </w:r>
    </w:p>
    <w:p>
      <w:pPr>
        <w:pStyle w:val="Normal"/>
        <w:ind w:firstLine="720" w:end="0"/>
        <w:rPr>
          <w:rFonts w:ascii="Times New Roman" w:hAnsi="Times New Roman" w:cs="Times New Roman"/>
          <w:sz w:val="20"/>
        </w:rPr>
      </w:pPr>
      <w:r>
        <w:rPr>
          <w:rFonts w:cs="Times New Roman" w:ascii="Times New Roman" w:hAnsi="Times New Roman"/>
          <w:sz w:val="20"/>
        </w:rPr>
        <w:t xml:space="preserve">Global did not itemize litigation contingencies in a manner that matched the accounting period with the litigation period.  Global created a general fund that it draws upon to cover litigation losses as they arise.  Global Industries should itemize these costs separately and should not account for potential suits in the future such as the patent infringement suit.  The discussion surrounding the patent infringement case is troubling.  The executives discuss the fact that Global is knowingly infringing upon a patent and attempt to determine how to plan for the costs of a potential suit, as if infringement is simply a cost of doing business.  </w:t>
      </w:r>
    </w:p>
    <w:p>
      <w:pPr>
        <w:pStyle w:val="Normal"/>
        <w:rPr>
          <w:rFonts w:ascii="Times New Roman" w:hAnsi="Times New Roman" w:cs="Times New Roman"/>
          <w:sz w:val="20"/>
        </w:rPr>
      </w:pPr>
      <w:r>
        <w:rPr>
          <w:rFonts w:cs="Times New Roman" w:ascii="Times New Roman" w:hAnsi="Times New Roman"/>
          <w:sz w:val="20"/>
        </w:rPr>
      </w:r>
    </w:p>
    <w:p>
      <w:pPr>
        <w:pStyle w:val="Heading1"/>
        <w:ind w:hanging="0" w:start="0"/>
        <w:rPr/>
      </w:pPr>
      <w:r>
        <w:rPr/>
        <w:t>Expropriation</w:t>
      </w:r>
    </w:p>
    <w:p>
      <w:pPr>
        <w:pStyle w:val="Normal"/>
        <w:ind w:firstLine="720" w:end="0"/>
        <w:rPr>
          <w:rFonts w:ascii="Times New Roman" w:hAnsi="Times New Roman" w:cs="Times New Roman"/>
          <w:sz w:val="20"/>
        </w:rPr>
      </w:pPr>
      <w:r>
        <w:rPr>
          <w:rFonts w:cs="Times New Roman" w:ascii="Times New Roman" w:hAnsi="Times New Roman"/>
          <w:sz w:val="20"/>
        </w:rPr>
        <w:t>We agree with the executive that Global should report the expropriation contingency in its 1994 report since both conditions included in FASB #5 were met:  1) sufficient information to assess that a loss is probable and 2) the loss could be reasonably estimated.  Matuto took power in 1994 and it was known that he would nationalize major industries.  However, we disagree with the conclusion by the executive that “regardless of whether we take the loss in 1994 or 1995 it will not hurt earnings.”  Global’s repeated reliance on a general fund to smooth and manage earnings is misleading to the users of Global’s financial reports.</w:t>
      </w:r>
    </w:p>
    <w:p>
      <w:pPr>
        <w:pStyle w:val="Normal"/>
        <w:ind w:firstLine="720" w:end="0"/>
        <w:rPr>
          <w:rFonts w:ascii="Times New Roman" w:hAnsi="Times New Roman" w:cs="Times New Roman"/>
          <w:sz w:val="20"/>
        </w:rPr>
      </w:pPr>
      <w:r>
        <w:rPr>
          <w:rFonts w:cs="Times New Roman" w:ascii="Times New Roman" w:hAnsi="Times New Roman"/>
          <w:sz w:val="20"/>
        </w:rPr>
      </w:r>
    </w:p>
    <w:p>
      <w:pPr>
        <w:pStyle w:val="BodyTextIndent2"/>
        <w:rPr>
          <w:i w:val="false"/>
          <w:i w:val="false"/>
          <w:iCs w:val="false"/>
        </w:rPr>
      </w:pPr>
      <w:r>
        <w:rPr/>
        <w:t>Question #3:  If Global Industries was subject to US GAAP, how would it have to account for the contingency losses discussed at the two Supervisory Board Meetings?</w:t>
      </w:r>
    </w:p>
    <w:p>
      <w:pPr>
        <w:pStyle w:val="BodyTextIndent2"/>
        <w:rPr>
          <w:i w:val="false"/>
          <w:i w:val="false"/>
          <w:iCs w:val="false"/>
        </w:rPr>
      </w:pPr>
      <w:r>
        <w:rPr>
          <w:i w:val="false"/>
          <w:iCs w:val="false"/>
        </w:rPr>
      </w:r>
    </w:p>
    <w:p>
      <w:pPr>
        <w:pStyle w:val="BodyTextIndent2"/>
        <w:ind w:firstLine="360" w:start="0" w:end="0"/>
        <w:rPr>
          <w:i w:val="false"/>
          <w:i w:val="false"/>
          <w:iCs w:val="false"/>
        </w:rPr>
      </w:pPr>
      <w:r>
        <w:rPr>
          <w:i w:val="false"/>
          <w:iCs w:val="false"/>
        </w:rPr>
        <w:t>In general, US GAAP would not permit Global to establish a “general fund” upon which it could draw to cover contingencies and smooth earnings.</w:t>
      </w:r>
    </w:p>
    <w:p>
      <w:pPr>
        <w:pStyle w:val="Normal"/>
        <w:ind w:hanging="1080" w:start="1080" w:end="0"/>
        <w:rPr>
          <w:rFonts w:ascii="Times New Roman" w:hAnsi="Times New Roman" w:cs="Times New Roman"/>
          <w:i/>
          <w:i/>
          <w:iCs/>
          <w:sz w:val="20"/>
        </w:rPr>
      </w:pPr>
      <w:r>
        <w:rPr>
          <w:rFonts w:cs="Times New Roman" w:ascii="Times New Roman" w:hAnsi="Times New Roman"/>
          <w:i/>
          <w:iCs/>
          <w:sz w:val="20"/>
        </w:rPr>
      </w:r>
    </w:p>
    <w:p>
      <w:pPr>
        <w:pStyle w:val="Heading1"/>
        <w:ind w:hanging="0" w:start="0"/>
        <w:rPr/>
      </w:pPr>
      <w:r>
        <w:rPr/>
        <w:t>Allowance for doubtful accounts</w:t>
      </w:r>
    </w:p>
    <w:p>
      <w:pPr>
        <w:pStyle w:val="Normal"/>
        <w:ind w:firstLine="360" w:end="0"/>
        <w:rPr>
          <w:rFonts w:ascii="Times New Roman" w:hAnsi="Times New Roman" w:cs="Times New Roman"/>
          <w:sz w:val="20"/>
        </w:rPr>
      </w:pPr>
      <w:r>
        <w:rPr>
          <w:rFonts w:cs="Times New Roman" w:ascii="Times New Roman" w:hAnsi="Times New Roman"/>
          <w:sz w:val="20"/>
        </w:rPr>
        <w:t>Though Global has discretion in setting policy, GAAP would suggest that Global should not “blend” all accounts receivables.  Instead, Global should group “like” accounts, which suggests that the allowance policy for the Plastics Group should be more in line with industry experience and standards—7% percent.  Global should fully disclose the policy and details of the contingency.</w:t>
      </w:r>
    </w:p>
    <w:p>
      <w:pPr>
        <w:pStyle w:val="Normal"/>
        <w:rPr>
          <w:rFonts w:ascii="Times New Roman" w:hAnsi="Times New Roman" w:cs="Times New Roman"/>
          <w:sz w:val="20"/>
        </w:rPr>
      </w:pPr>
      <w:r>
        <w:rPr>
          <w:rFonts w:cs="Times New Roman" w:ascii="Times New Roman" w:hAnsi="Times New Roman"/>
          <w:sz w:val="20"/>
        </w:rPr>
        <w:t xml:space="preserve"> </w:t>
      </w:r>
    </w:p>
    <w:p>
      <w:pPr>
        <w:pStyle w:val="Heading1"/>
        <w:ind w:hanging="0" w:start="0"/>
        <w:rPr/>
      </w:pPr>
      <w:r>
        <w:rPr/>
        <w:t>Warranties</w:t>
      </w:r>
    </w:p>
    <w:p>
      <w:pPr>
        <w:pStyle w:val="Normal"/>
        <w:ind w:firstLine="360" w:end="0"/>
        <w:rPr>
          <w:rFonts w:ascii="Times New Roman" w:hAnsi="Times New Roman" w:cs="Times New Roman"/>
          <w:sz w:val="20"/>
        </w:rPr>
      </w:pPr>
      <w:r>
        <w:rPr>
          <w:rFonts w:cs="Times New Roman" w:ascii="Times New Roman" w:hAnsi="Times New Roman"/>
          <w:sz w:val="20"/>
        </w:rPr>
        <w:t>Global should accrue the allowance for warranties and fully disclose the policy and details of the contingency.</w:t>
      </w:r>
    </w:p>
    <w:p>
      <w:pPr>
        <w:pStyle w:val="Normal"/>
        <w:rPr>
          <w:rFonts w:ascii="Times New Roman" w:hAnsi="Times New Roman" w:cs="Times New Roman"/>
          <w:sz w:val="20"/>
        </w:rPr>
      </w:pPr>
      <w:r>
        <w:rPr>
          <w:rFonts w:cs="Times New Roman" w:ascii="Times New Roman" w:hAnsi="Times New Roman"/>
          <w:sz w:val="20"/>
        </w:rPr>
      </w:r>
    </w:p>
    <w:p>
      <w:pPr>
        <w:pStyle w:val="Heading1"/>
        <w:ind w:hanging="0" w:start="0"/>
        <w:rPr/>
      </w:pPr>
      <w:r>
        <w:rPr/>
        <w:t>Catastrophic losses</w:t>
      </w:r>
    </w:p>
    <w:p>
      <w:pPr>
        <w:pStyle w:val="Normal"/>
        <w:ind w:firstLine="360" w:end="0"/>
        <w:rPr>
          <w:rFonts w:ascii="Times New Roman" w:hAnsi="Times New Roman" w:cs="Times New Roman"/>
          <w:sz w:val="20"/>
        </w:rPr>
      </w:pPr>
      <w:r>
        <w:rPr>
          <w:rFonts w:cs="Times New Roman" w:ascii="Times New Roman" w:hAnsi="Times New Roman"/>
          <w:sz w:val="20"/>
        </w:rPr>
        <w:t>Consistent with FASB #5, Global should not accrue the contingency.  Global should record any costs as they are incurred.  Any premiums paid for reinsurance should be recorded as an expense as incurred.  Global should fully disclose the contingency.</w:t>
      </w:r>
    </w:p>
    <w:p>
      <w:pPr>
        <w:pStyle w:val="Normal"/>
        <w:rPr>
          <w:rFonts w:ascii="Times New Roman" w:hAnsi="Times New Roman" w:cs="Times New Roman"/>
          <w:b/>
          <w:bCs/>
          <w:sz w:val="20"/>
        </w:rPr>
      </w:pPr>
      <w:r>
        <w:rPr>
          <w:rFonts w:cs="Times New Roman" w:ascii="Times New Roman" w:hAnsi="Times New Roman"/>
          <w:b/>
          <w:bCs/>
          <w:sz w:val="20"/>
        </w:rPr>
      </w:r>
    </w:p>
    <w:p>
      <w:pPr>
        <w:pStyle w:val="Heading1"/>
        <w:ind w:hanging="0" w:start="0"/>
        <w:rPr/>
      </w:pPr>
      <w:r>
        <w:rPr/>
        <w:t>Litigation</w:t>
      </w:r>
    </w:p>
    <w:p>
      <w:pPr>
        <w:pStyle w:val="Normal"/>
        <w:ind w:hanging="2160" w:start="2160" w:end="0"/>
        <w:rPr/>
      </w:pPr>
      <w:r>
        <w:rPr>
          <w:rFonts w:cs="Times New Roman" w:ascii="Times New Roman" w:hAnsi="Times New Roman"/>
          <w:i/>
          <w:iCs/>
          <w:sz w:val="20"/>
        </w:rPr>
        <w:t>Discrimination case</w:t>
      </w:r>
      <w:r>
        <w:rPr>
          <w:rFonts w:cs="Times New Roman" w:ascii="Times New Roman" w:hAnsi="Times New Roman"/>
          <w:sz w:val="20"/>
        </w:rPr>
        <w:t>:</w:t>
        <w:tab/>
        <w:t>Disclose this period but do not accrue.  Too much uncertainty persists with respect to 1) when the suit might be resolved and 2) what the losses of the suit might be.</w:t>
      </w:r>
    </w:p>
    <w:p>
      <w:pPr>
        <w:pStyle w:val="Normal"/>
        <w:ind w:hanging="2160" w:start="2160" w:end="0"/>
        <w:rPr>
          <w:rFonts w:ascii="Times New Roman" w:hAnsi="Times New Roman" w:cs="Times New Roman"/>
          <w:sz w:val="20"/>
        </w:rPr>
      </w:pPr>
      <w:r>
        <w:rPr>
          <w:rFonts w:cs="Times New Roman" w:ascii="Times New Roman" w:hAnsi="Times New Roman"/>
          <w:sz w:val="20"/>
        </w:rPr>
      </w:r>
    </w:p>
    <w:p>
      <w:pPr>
        <w:pStyle w:val="Normal"/>
        <w:ind w:hanging="2160" w:start="2160" w:end="0"/>
        <w:rPr/>
      </w:pPr>
      <w:r>
        <w:rPr>
          <w:rFonts w:cs="Times New Roman" w:ascii="Times New Roman" w:hAnsi="Times New Roman"/>
          <w:i/>
          <w:iCs/>
          <w:sz w:val="20"/>
        </w:rPr>
        <w:t>Product failure case</w:t>
      </w:r>
      <w:r>
        <w:rPr>
          <w:rFonts w:cs="Times New Roman" w:ascii="Times New Roman" w:hAnsi="Times New Roman"/>
          <w:sz w:val="20"/>
        </w:rPr>
        <w:t>:</w:t>
        <w:tab/>
        <w:t>Accure and disclose this period.  Both conditions in FASB #5 are met.  There is sufficient certainty that a loss will be incurred and the amount of the loss can be reasonably estimated.</w:t>
      </w:r>
    </w:p>
    <w:p>
      <w:pPr>
        <w:pStyle w:val="Normal"/>
        <w:ind w:hanging="2160" w:start="2160" w:end="0"/>
        <w:rPr>
          <w:rFonts w:ascii="Times New Roman" w:hAnsi="Times New Roman" w:cs="Times New Roman"/>
          <w:sz w:val="20"/>
        </w:rPr>
      </w:pPr>
      <w:r>
        <w:rPr>
          <w:rFonts w:cs="Times New Roman" w:ascii="Times New Roman" w:hAnsi="Times New Roman"/>
          <w:sz w:val="20"/>
        </w:rPr>
      </w:r>
    </w:p>
    <w:p>
      <w:pPr>
        <w:pStyle w:val="Normal"/>
        <w:ind w:hanging="2160" w:start="2160" w:end="0"/>
        <w:rPr/>
      </w:pPr>
      <w:r>
        <w:rPr>
          <w:rFonts w:cs="Times New Roman" w:ascii="Times New Roman" w:hAnsi="Times New Roman"/>
          <w:i/>
          <w:iCs/>
          <w:sz w:val="20"/>
        </w:rPr>
        <w:t>Patent infringement</w:t>
      </w:r>
      <w:r>
        <w:rPr>
          <w:rFonts w:cs="Times New Roman" w:ascii="Times New Roman" w:hAnsi="Times New Roman"/>
          <w:sz w:val="20"/>
        </w:rPr>
        <w:t>:</w:t>
        <w:tab/>
        <w:t>Neither disclose nor accrue.  Global should halt the knowing infrigement of the patent.</w:t>
      </w:r>
    </w:p>
    <w:p>
      <w:pPr>
        <w:pStyle w:val="Normal"/>
        <w:ind w:hanging="2160" w:start="2160" w:end="0"/>
        <w:rPr>
          <w:rFonts w:ascii="Times New Roman" w:hAnsi="Times New Roman" w:cs="Times New Roman"/>
          <w:sz w:val="20"/>
        </w:rPr>
      </w:pPr>
      <w:r>
        <w:rPr>
          <w:rFonts w:cs="Times New Roman" w:ascii="Times New Roman" w:hAnsi="Times New Roman"/>
          <w:sz w:val="20"/>
        </w:rPr>
      </w:r>
    </w:p>
    <w:p>
      <w:pPr>
        <w:pStyle w:val="Normal"/>
        <w:ind w:hanging="2160" w:start="2160" w:end="0"/>
        <w:rPr/>
      </w:pPr>
      <w:r>
        <w:rPr>
          <w:rFonts w:cs="Times New Roman" w:ascii="Times New Roman" w:hAnsi="Times New Roman"/>
          <w:i/>
          <w:iCs/>
          <w:sz w:val="20"/>
        </w:rPr>
        <w:t>Expropriation</w:t>
      </w:r>
      <w:r>
        <w:rPr>
          <w:rFonts w:cs="Times New Roman" w:ascii="Times New Roman" w:hAnsi="Times New Roman"/>
          <w:sz w:val="20"/>
        </w:rPr>
        <w:t>:</w:t>
        <w:tab/>
        <w:t>Accrue and report in this period.   Both conditions in FASB #5 are met, and both conditions were met prior to the end of the current reporting period.  The government announced its actions and provided sufficient information to make estimates of the loss reasonably estimated.</w:t>
      </w:r>
    </w:p>
    <w:p>
      <w:pPr>
        <w:pStyle w:val="Normal"/>
        <w:ind w:hanging="2160" w:start="2160" w:end="0"/>
        <w:rPr>
          <w:rFonts w:ascii="Times New Roman" w:hAnsi="Times New Roman" w:cs="Times New Roman"/>
          <w:sz w:val="20"/>
        </w:rPr>
      </w:pPr>
      <w:r>
        <w:rPr>
          <w:rFonts w:cs="Times New Roman" w:ascii="Times New Roman" w:hAnsi="Times New Roman"/>
          <w:sz w:val="20"/>
        </w:rPr>
      </w:r>
    </w:p>
    <w:p>
      <w:pPr>
        <w:pStyle w:val="Normal"/>
        <w:ind w:hanging="2160" w:start="2160" w:end="0"/>
        <w:rPr/>
      </w:pPr>
      <w:r>
        <w:rPr>
          <w:rFonts w:cs="Times New Roman" w:ascii="Times New Roman" w:hAnsi="Times New Roman"/>
          <w:i/>
          <w:iCs/>
          <w:sz w:val="20"/>
        </w:rPr>
        <w:t>Customer default</w:t>
      </w:r>
      <w:r>
        <w:rPr>
          <w:rFonts w:cs="Times New Roman" w:ascii="Times New Roman" w:hAnsi="Times New Roman"/>
          <w:sz w:val="20"/>
        </w:rPr>
        <w:t>:</w:t>
        <w:tab/>
        <w:t>Though Global has some discretion under US GAAP, we recommend that Global accrue and disclose the loss in 1994.  Global should have been aware of the customer’s financial position—FASB #5 does not appear to excuse a firm from accruing a loss due to ignorance.  Therefore, since Global should have known about the customer’s financial position, and since the loss is reasonably estimated, Global should accrue and disclose the loss this period.</w:t>
      </w:r>
    </w:p>
    <w:p>
      <w:pPr>
        <w:pStyle w:val="BodyText"/>
        <w:numPr>
          <w:ilvl w:val="0"/>
          <w:numId w:val="2"/>
        </w:numPr>
        <w:rPr/>
      </w:pPr>
      <w:r>
        <w:rPr/>
        <w:t>How should Global Industries account for the restructuring costs associated with the restructuring actions listed in Exhibit 1?</w:t>
      </w:r>
    </w:p>
    <w:p>
      <w:pPr>
        <w:pStyle w:val="Normal"/>
        <w:rPr>
          <w:rFonts w:ascii="Times New Roman" w:hAnsi="Times New Roman" w:cs="Times New Roman"/>
          <w:sz w:val="20"/>
        </w:rPr>
      </w:pPr>
      <w:r>
        <w:rPr>
          <w:rFonts w:cs="Times New Roman" w:ascii="Times New Roman" w:hAnsi="Times New Roman"/>
          <w:sz w:val="20"/>
        </w:rPr>
      </w:r>
    </w:p>
    <w:p>
      <w:pPr>
        <w:pStyle w:val="BodyTextIndent"/>
        <w:ind w:firstLine="360" w:start="0" w:end="0"/>
        <w:rPr>
          <w:i w:val="false"/>
          <w:i w:val="false"/>
          <w:iCs w:val="false"/>
        </w:rPr>
      </w:pPr>
      <w:r>
        <w:rPr>
          <w:i w:val="false"/>
          <w:iCs w:val="false"/>
        </w:rPr>
        <w:t>Global Industries is a German company and is therefore required to adhere to the Generally Accepted Accounting Procedures (GAAP) of Germany.  In the text of the case the only guidance we are given for the reporting requirements under German GAAP is that “accruals or provisions may be recorded for uncertain liabilities and loss contingencies”.  The overriding requirement is that the reporting is that the “prudence concept be observed”.</w:t>
      </w:r>
    </w:p>
    <w:p>
      <w:pPr>
        <w:pStyle w:val="Normal"/>
        <w:ind w:start="720" w:end="0"/>
        <w:rPr>
          <w:rFonts w:ascii="Times New Roman" w:hAnsi="Times New Roman" w:cs="Times New Roman"/>
          <w:i/>
          <w:i/>
          <w:iCs/>
          <w:sz w:val="20"/>
        </w:rPr>
      </w:pPr>
      <w:r>
        <w:rPr>
          <w:rFonts w:cs="Times New Roman" w:ascii="Times New Roman" w:hAnsi="Times New Roman"/>
          <w:i/>
          <w:iCs/>
          <w:sz w:val="20"/>
        </w:rPr>
      </w:r>
    </w:p>
    <w:p>
      <w:pPr>
        <w:pStyle w:val="BodyTextIndent3"/>
        <w:rPr/>
      </w:pPr>
      <w:r>
        <w:rPr/>
        <w:t>Based on this lose definition, Global Industries would choose to make provisions for any loses immediately and then charge the actual loses against the accruals as they occur.  In Karl Ebner’s memo to the Supervisory Board, he outlines eight items that will arise in the restructuring that may require an accounting adjustment.</w:t>
      </w:r>
    </w:p>
    <w:p>
      <w:pPr>
        <w:pStyle w:val="Normal"/>
        <w:ind w:start="720" w:end="0"/>
        <w:rPr>
          <w:rFonts w:ascii="Times New Roman" w:hAnsi="Times New Roman" w:cs="Times New Roman"/>
          <w:sz w:val="20"/>
        </w:rPr>
      </w:pPr>
      <w:r>
        <w:rPr>
          <w:rFonts w:cs="Times New Roman" w:ascii="Times New Roman" w:hAnsi="Times New Roman"/>
          <w:sz w:val="20"/>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Restructuring Item</w:t>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sz w:val="20"/>
              </w:rPr>
            </w:pPr>
            <w:r>
              <w:rPr>
                <w:rFonts w:cs="Times New Roman" w:ascii="Times New Roman" w:hAnsi="Times New Roman"/>
                <w:b/>
                <w:sz w:val="20"/>
              </w:rPr>
              <w:t>Proposed Treatment under German GAAP</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1.  Ceasing of operations in the Essen facility.  Lease cancellation penalty to be incurred.</w:t>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With the idea of prudence in mind, it would be important to include this as a restructuring charge.  By setting up an allowance for this change, Global can incur this cost now and charge it as part of the overall restructuring.  It would include the entire cancellation penalty in the accrual account and when that penalty is actually incurred charge against this accrual account.</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2.  Closing the New Jersey plant.  Accounting issues include the salaries of employees held on after the plant ceases all operations as well as the lease costs incurred after operations.</w:t>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If Global was interested in keeping all costs of the restructuring together in one lump charge so that it was not to impact its earnings in future periods, it may be possible to include both of these costs in the accrual for restructuring charges.  They could easily argue that if that had not undertaken the restructuring these costs would not have been incurred at a loss.  The revenue of the plant would have offset them and therefore these costs should be seen as part of the overall restructuring of the company.</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3.  Sub-contracting of the warranty work of products sold before the commitment date and after the commitment date.</w:t>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Under current practices, Global should have been accruing a liability related to the possible warranty costs associated with the sale of their goods.  Since the service contract Global is about to enter into an agreement that contains more costs per unit then are currently being accrued, the question arises as to what to do with the difference.  Global would obviously wish to claim that the increase in the warranty costs are due to the restructuring and shutting down that particular line of business.  This question becomes more difficult as to the products that are being sold after the commitment date.  Global could extend the above argument that the restructuring is causing the warranty costs to increase, but it is more difficult since the accrual of these costs usually occurs at sale.  Therefore, Global might have to incur the higher warranty costs as an operations expense rather than charging them against the restructuring.</w:t>
            </w:r>
          </w:p>
          <w:p>
            <w:pPr>
              <w:pStyle w:val="Normal"/>
              <w:rPr>
                <w:rFonts w:ascii="Times New Roman" w:hAnsi="Times New Roman" w:cs="Times New Roman"/>
                <w:sz w:val="20"/>
              </w:rPr>
            </w:pPr>
            <w:r>
              <w:rPr>
                <w:rFonts w:cs="Times New Roman" w:ascii="Times New Roman" w:hAnsi="Times New Roman"/>
                <w:sz w:val="20"/>
              </w:rPr>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4.  Development of computer software to increase efficiency of remaining worker to offset loss of lying off workers.</w:t>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Global would have a difficult time claiming that these costs are directly associated with the restructuring.  The software package would be seen as an investment allowing for the restructuring not a cost of the overall restructuring.</w:t>
            </w:r>
          </w:p>
          <w:p>
            <w:pPr>
              <w:pStyle w:val="Normal"/>
              <w:rPr>
                <w:rFonts w:ascii="Times New Roman" w:hAnsi="Times New Roman" w:cs="Times New Roman"/>
                <w:sz w:val="20"/>
              </w:rPr>
            </w:pPr>
            <w:r>
              <w:rPr>
                <w:rFonts w:cs="Times New Roman" w:ascii="Times New Roman" w:hAnsi="Times New Roman"/>
                <w:sz w:val="20"/>
              </w:rPr>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5.  Cost of consultants to realign corporate goals of the East Coast USA division.</w:t>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Global would want to keep these costs as part of the overall restructuring plan.  They could easily argue that under a commitment to prudence, that these costs were to be incurred under the companies desire to transform its business.  As such these costs should not impact the financial statements of the company past the date that they committed to such a change.  Under this argument, Global would immediately charge these costs and establish an accrual account allowing for these future costs.</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6.  Retraining and re-location of employees in Germany and at foreign locations.</w:t>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Without the restructuring, none of these costs would have been incurred.  Under this it would be appropriate for Global to include these costs as part of the restructuring and charge them against the accrual account when realized.</w:t>
            </w:r>
          </w:p>
          <w:p>
            <w:pPr>
              <w:pStyle w:val="Normal"/>
              <w:rPr>
                <w:rFonts w:ascii="Times New Roman" w:hAnsi="Times New Roman" w:cs="Times New Roman"/>
                <w:sz w:val="20"/>
              </w:rPr>
            </w:pPr>
            <w:r>
              <w:rPr>
                <w:rFonts w:cs="Times New Roman" w:ascii="Times New Roman" w:hAnsi="Times New Roman"/>
                <w:sz w:val="20"/>
              </w:rPr>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7.  Shipping costs of consolidating machinery and inventory from US plant to Singapore.</w:t>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Global would also state that this charge was part of the closing of the US plant.  Since the restructuring plan calls for such a consolidation, the costs incurred for the consolidation would be accounted for immediately and charge against the previous accrual when realized.</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8.  Loses incurred in the Trenton plant from commitment date to closing date.</w:t>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Global could claim that these losses would only be caused by the overall shutdown of the plant.  If the plant only stayed open to fulfill current orders and did not take on any new orders, this should not be shown in the operating section of the income statement.  The loses that are caused due to increased overhead per unit are therefore a result of the restructuring decision to close the plant and should be charged against the restructuring accrual accounts.</w:t>
            </w:r>
          </w:p>
          <w:p>
            <w:pPr>
              <w:pStyle w:val="Normal"/>
              <w:rPr>
                <w:rFonts w:ascii="Times New Roman" w:hAnsi="Times New Roman" w:cs="Times New Roman"/>
                <w:sz w:val="20"/>
              </w:rPr>
            </w:pPr>
            <w:r>
              <w:rPr>
                <w:rFonts w:cs="Times New Roman" w:ascii="Times New Roman" w:hAnsi="Times New Roman"/>
                <w:sz w:val="20"/>
              </w:rPr>
            </w:r>
          </w:p>
        </w:tc>
      </w:tr>
    </w:tbl>
    <w:p>
      <w:pPr>
        <w:pStyle w:val="Normal"/>
        <w:rPr>
          <w:rFonts w:ascii="Times New Roman" w:hAnsi="Times New Roman" w:cs="Times New Roman"/>
          <w:sz w:val="20"/>
        </w:rPr>
      </w:pPr>
      <w:r>
        <w:rPr>
          <w:rFonts w:cs="Times New Roman" w:ascii="Times New Roman" w:hAnsi="Times New Roman"/>
          <w:sz w:val="20"/>
        </w:rPr>
      </w:r>
    </w:p>
    <w:p>
      <w:pPr>
        <w:pStyle w:val="BodyTextIndent3"/>
        <w:rPr/>
      </w:pPr>
      <w:r>
        <w:rPr/>
        <w:t>The above analysis is based on the assumption that Global would rather take all costs as part of the restructuring charge.  This assumption is sound since users of financial statements typically will ignore restructuring charges and focus in on the effect that the restructuring will have on long term profitability.  Global would therefore wish to include all possible charges in the restructuring charges so that they would not impact on future period’s income statements.</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BodyText"/>
        <w:numPr>
          <w:ilvl w:val="0"/>
          <w:numId w:val="2"/>
        </w:numPr>
        <w:rPr/>
      </w:pPr>
      <w:r>
        <w:rPr/>
        <w:t>If Global Industries was subject to U.S. GAAP, how would it have to account for the restructuring costs associated with the restructuring actions listed in Exhibit 1?</w:t>
      </w:r>
    </w:p>
    <w:p>
      <w:pPr>
        <w:pStyle w:val="Normal"/>
        <w:rPr>
          <w:rFonts w:ascii="Times New Roman" w:hAnsi="Times New Roman" w:cs="Times New Roman"/>
          <w:sz w:val="20"/>
        </w:rPr>
      </w:pPr>
      <w:r>
        <w:rPr>
          <w:rFonts w:cs="Times New Roman" w:ascii="Times New Roman" w:hAnsi="Times New Roman"/>
          <w:sz w:val="20"/>
        </w:rPr>
      </w:r>
    </w:p>
    <w:p>
      <w:pPr>
        <w:pStyle w:val="BodyTextIndent3"/>
        <w:rPr/>
      </w:pPr>
      <w:r>
        <w:rPr/>
        <w:t>Since restructuring usually contain many different activities including the discontinuation of certain operations, the laying off of workers, and the repositioning of assets and business units remaining in a company, there are several different sources on accounting rules describing how to handle charges.  These include FASB Statements No. 5, 30, and 112, as well as opinions of FASB’s Emerging Issues Task Forces.  These sources provide us with guidelines on how Global would have to account for the same issues stated above if they were subject to US GAAP.</w:t>
      </w:r>
    </w:p>
    <w:p>
      <w:pPr>
        <w:pStyle w:val="Normal"/>
        <w:rPr>
          <w:rFonts w:ascii="Times New Roman" w:hAnsi="Times New Roman" w:cs="Times New Roman"/>
          <w:sz w:val="20"/>
        </w:rPr>
      </w:pPr>
      <w:r>
        <w:rPr>
          <w:rFonts w:cs="Times New Roman" w:ascii="Times New Roman" w:hAnsi="Times New Roman"/>
          <w:sz w:val="20"/>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Restructuring Item</w:t>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sz w:val="20"/>
              </w:rPr>
            </w:pPr>
            <w:r>
              <w:rPr>
                <w:rFonts w:cs="Times New Roman" w:ascii="Times New Roman" w:hAnsi="Times New Roman"/>
                <w:b/>
                <w:sz w:val="20"/>
              </w:rPr>
              <w:t>Proposed Treatment under U.S. GAAP</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1.  Ceasing of operations in the Essen facility.  Lease cancellation penalty to be incurred.</w:t>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Since the plant is to cease all operations immediately, there is no continuing economic benefit from the plant.  If the plant was its own business operation as defined by FASB No. 30, it would be classified as a discontinued operation and all the costs of the discontinuing would appear in that section.  If it was simply a plant in an operation that was continuing, the lease cancellation penalty could be part of the restructuring charge and therefore part of the accrual account.</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2.  Closing the New Jersey plant.  Accounting issues include the salaries of employees held on after the plant ceases all operations as well as the lease costs incurred after operations.</w:t>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The issues regarding the New Jersey plant hinge around if Global was to receive any economic benefit during this period.  If the time were spent to pack up inventory and ship it to other facilities the costs then would not be accruable but charged against operations.  If this was not the case and no future economic benefit could be derived from any activities during this time, it could also be part of the restructuring charge.</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3.  Sub-contracting of the warranty work of products sold before the commitment date and after the commitment date.</w:t>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The additional warranty costs of the goods sold prior to commitment date would be subject to accrual accounting.  Since these charges stem from a commitment made prior to the restructuring announcement, FASB’s EITF has determined that they are part of the restructuring.  The costs associated with the warranties of goods sold after the commitment date would not be eligible since they are associated with revenues incurred after the commitment date.  These additional costs should be part of the normal warranty contingency accrual.</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4.  Development of computer software to increase efficiency of remaining worker to offset loss of lying off workers.</w:t>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FASB would not allow any of these costs to be accrued because they have obvious economic benefits to the company in future periods.</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5.  Cost of consultants to realign corporate goals of the East Coast USA division.</w:t>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These consultants would be hired to realign the East Coast Division.  Their work and suggestions will have continuing economic benefit to the company past the end of the restructuring and therefore would not be part of the restructuring charges.</w:t>
            </w:r>
          </w:p>
          <w:p>
            <w:pPr>
              <w:pStyle w:val="Normal"/>
              <w:rPr>
                <w:rFonts w:ascii="Times New Roman" w:hAnsi="Times New Roman" w:cs="Times New Roman"/>
                <w:sz w:val="20"/>
              </w:rPr>
            </w:pPr>
            <w:r>
              <w:rPr>
                <w:rFonts w:cs="Times New Roman" w:ascii="Times New Roman" w:hAnsi="Times New Roman"/>
                <w:sz w:val="20"/>
              </w:rPr>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6.  Retraining and re-location of employees in Germany and at foreign locations.</w:t>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If Global was not already accruing for these charges as part of the compensation expense, these costs could be accrued for if the following conditions are met.  The management commits to the changes that would require these costs.  The retraining and relocation benefits are communicated to its employees.  The plan includes the number of employees to be effected including job functions and locations.  The period of time for the restructuring does not allow for significant changes to the plan of terminations.  If all these apply in this case then these costs could be included in the restructuring charge.</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7.  Shipping costs of consolidating machinery and inventory from US plant to Singapore.</w:t>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The shipping of these articles will continue to provide economic benefit to the company in the future and therefore would not be subject to any accrual for these charges.</w:t>
            </w:r>
          </w:p>
          <w:p>
            <w:pPr>
              <w:pStyle w:val="Normal"/>
              <w:rPr>
                <w:rFonts w:ascii="Times New Roman" w:hAnsi="Times New Roman" w:cs="Times New Roman"/>
                <w:sz w:val="20"/>
              </w:rPr>
            </w:pPr>
            <w:r>
              <w:rPr>
                <w:rFonts w:cs="Times New Roman" w:ascii="Times New Roman" w:hAnsi="Times New Roman"/>
                <w:sz w:val="20"/>
              </w:rPr>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8.  Loses incurred in the Trenton plant from commitment date to closing date.</w:t>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These loses would be subject to accrual as long as they are incurred in meeting prior contractual requirements that would require a cost of cancellation.  If the plant were operating at a loss due to a higher application of fixed costs per unit, these increases in these costs would be viewed as incremental and charged against the restructuring.</w:t>
            </w:r>
          </w:p>
        </w:tc>
      </w:tr>
    </w:tbl>
    <w:p>
      <w:pPr>
        <w:pStyle w:val="Normal"/>
        <w:rPr>
          <w:rFonts w:ascii="Times New Roman" w:hAnsi="Times New Roman" w:cs="Times New Roman"/>
          <w:sz w:val="20"/>
        </w:rPr>
      </w:pPr>
      <w:r>
        <w:rPr>
          <w:rFonts w:cs="Times New Roman" w:ascii="Times New Roman" w:hAnsi="Times New Roman"/>
          <w:sz w:val="20"/>
        </w:rPr>
      </w:r>
    </w:p>
    <w:p>
      <w:pPr>
        <w:pStyle w:val="Normal"/>
        <w:ind w:hanging="2160" w:start="2160" w:end="0"/>
        <w:rPr>
          <w:rFonts w:ascii="Times New Roman" w:hAnsi="Times New Roman" w:cs="Times New Roman"/>
          <w:sz w:val="20"/>
        </w:rPr>
      </w:pPr>
      <w:r>
        <w:rPr>
          <w:rFonts w:cs="Times New Roman" w:ascii="Times New Roman" w:hAnsi="Times New Roman"/>
          <w:sz w:val="20"/>
        </w:rPr>
      </w:r>
    </w:p>
    <w:p>
      <w:pPr>
        <w:pStyle w:val="Normal"/>
        <w:ind w:hanging="2160" w:start="2160" w:end="0"/>
        <w:rPr>
          <w:rFonts w:ascii="Times New Roman" w:hAnsi="Times New Roman" w:cs="Times New Roman"/>
          <w:sz w:val="20"/>
        </w:rPr>
      </w:pPr>
      <w:r>
        <w:rPr>
          <w:rFonts w:cs="Times New Roman" w:ascii="Times New Roman" w:hAnsi="Times New Roman"/>
          <w:sz w:val="20"/>
        </w:rPr>
      </w:r>
    </w:p>
    <w:p>
      <w:pPr>
        <w:pStyle w:val="Normal"/>
        <w:ind w:hanging="2160" w:start="2160" w:end="0"/>
        <w:rPr>
          <w:rFonts w:ascii="Times New Roman" w:hAnsi="Times New Roman" w:cs="Times New Roman"/>
          <w:sz w:val="20"/>
        </w:rPr>
      </w:pPr>
      <w:r>
        <w:rPr>
          <w:rFonts w:cs="Times New Roman" w:ascii="Times New Roman" w:hAnsi="Times New Roman"/>
          <w:sz w:val="20"/>
        </w:rPr>
      </w:r>
    </w:p>
    <w:p>
      <w:pPr>
        <w:pStyle w:val="Normal"/>
        <w:ind w:hanging="2160" w:start="2160" w:end="0"/>
        <w:rPr>
          <w:rFonts w:ascii="Times New Roman" w:hAnsi="Times New Roman" w:cs="Times New Roman"/>
          <w:sz w:val="20"/>
        </w:rPr>
      </w:pPr>
      <w:r>
        <w:rPr>
          <w:rFonts w:cs="Times New Roman" w:ascii="Times New Roman" w:hAnsi="Times New Roman"/>
          <w:sz w:val="20"/>
        </w:rPr>
      </w:r>
    </w:p>
    <w:p>
      <w:pPr>
        <w:pStyle w:val="Normal"/>
        <w:ind w:hanging="2160" w:start="2160" w:end="0"/>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b/>
          <w:bCs/>
          <w:sz w:val="20"/>
        </w:rPr>
      </w:pPr>
      <w:r>
        <w:rPr>
          <w:rFonts w:cs="Times New Roman" w:ascii="Times New Roman" w:hAnsi="Times New Roman"/>
          <w:b/>
          <w:bCs/>
          <w:sz w:val="20"/>
        </w:rPr>
      </w:r>
    </w:p>
    <w:p>
      <w:pPr>
        <w:pStyle w:val="Normal"/>
        <w:rPr>
          <w:rFonts w:ascii="Times New Roman" w:hAnsi="Times New Roman" w:cs="Times New Roman"/>
          <w:b/>
          <w:bCs/>
          <w:sz w:val="20"/>
        </w:rPr>
      </w:pPr>
      <w:r>
        <w:rPr>
          <w:rFonts w:cs="Times New Roman" w:ascii="Times New Roman" w:hAnsi="Times New Roman"/>
          <w:b/>
          <w:bCs/>
          <w:sz w:val="20"/>
        </w:rPr>
      </w:r>
    </w:p>
    <w:p>
      <w:pPr>
        <w:pStyle w:val="Normal"/>
        <w:rPr>
          <w:rFonts w:ascii="Times New Roman" w:hAnsi="Times New Roman" w:cs="Times New Roman"/>
          <w:b/>
          <w:bCs/>
          <w:sz w:val="20"/>
        </w:rPr>
      </w:pPr>
      <w:r>
        <w:rPr>
          <w:rFonts w:cs="Times New Roman" w:ascii="Times New Roman" w:hAnsi="Times New Roman"/>
          <w:b/>
          <w:bCs/>
          <w:sz w:val="20"/>
        </w:rPr>
      </w:r>
    </w:p>
    <w:p>
      <w:pPr>
        <w:pStyle w:val="Normal"/>
        <w:rPr>
          <w:rFonts w:ascii="Times New Roman" w:hAnsi="Times New Roman" w:cs="Times New Roman"/>
          <w:b/>
          <w:bCs/>
          <w:sz w:val="20"/>
        </w:rPr>
      </w:pPr>
      <w:r>
        <w:rPr>
          <w:rFonts w:cs="Times New Roman" w:ascii="Times New Roman" w:hAnsi="Times New Roman"/>
          <w:b/>
          <w:bCs/>
          <w:sz w:val="20"/>
        </w:rPr>
      </w:r>
    </w:p>
    <w:p>
      <w:pPr>
        <w:pStyle w:val="Normal"/>
        <w:rPr>
          <w:rFonts w:ascii="Times New Roman" w:hAnsi="Times New Roman" w:cs="Times New Roman"/>
          <w:b/>
          <w:bCs/>
          <w:sz w:val="20"/>
        </w:rPr>
      </w:pPr>
      <w:r>
        <w:rPr>
          <w:rFonts w:cs="Times New Roman" w:ascii="Times New Roman" w:hAnsi="Times New Roman"/>
          <w:b/>
          <w:bCs/>
          <w:sz w:val="20"/>
        </w:rPr>
      </w:r>
    </w:p>
    <w:p>
      <w:pPr>
        <w:pStyle w:val="Normal"/>
        <w:rPr>
          <w:rFonts w:ascii="Times New Roman" w:hAnsi="Times New Roman" w:cs="Times New Roman"/>
          <w:b/>
          <w:bCs/>
          <w:sz w:val="20"/>
        </w:rPr>
      </w:pPr>
      <w:r>
        <w:rPr>
          <w:rFonts w:cs="Times New Roman" w:ascii="Times New Roman" w:hAnsi="Times New Roman"/>
          <w:b/>
          <w:bCs/>
          <w:sz w:val="20"/>
        </w:rPr>
      </w:r>
    </w:p>
    <w:p>
      <w:pPr>
        <w:pStyle w:val="Normal"/>
        <w:rPr>
          <w:rFonts w:ascii="Times New Roman" w:hAnsi="Times New Roman" w:cs="Times New Roman"/>
          <w:b/>
          <w:bCs/>
          <w:sz w:val="20"/>
        </w:rPr>
      </w:pPr>
      <w:r>
        <w:rPr>
          <w:rFonts w:cs="Times New Roman" w:ascii="Times New Roman" w:hAnsi="Times New Roman"/>
          <w:b/>
          <w:bCs/>
          <w:sz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decimal"/>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rFonts w:ascii="Times New Roman" w:hAnsi="Times New Roman" w:cs="Times New Roman"/>
      <w:b/>
      <w:bCs/>
      <w:sz w:val="20"/>
    </w:rPr>
  </w:style>
  <w:style w:type="paragraph" w:styleId="Heading2">
    <w:name w:val="heading 2"/>
    <w:basedOn w:val="Normal"/>
    <w:next w:val="Normal"/>
    <w:qFormat/>
    <w:pPr>
      <w:keepNext w:val="true"/>
      <w:numPr>
        <w:ilvl w:val="1"/>
        <w:numId w:val="1"/>
      </w:numPr>
      <w:spacing w:before="240" w:after="60"/>
      <w:outlineLvl w:val="1"/>
    </w:pPr>
    <w:rPr>
      <w:b/>
      <w:i/>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Times New Roman" w:hAnsi="Times New Roman" w:cs="Times New Roman"/>
      <w:i/>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1440" w:start="1440" w:end="0"/>
    </w:pPr>
    <w:rPr>
      <w:rFonts w:ascii="Times New Roman" w:hAnsi="Times New Roman" w:cs="Times New Roman"/>
      <w:i/>
      <w:iCs/>
      <w:sz w:val="20"/>
    </w:rPr>
  </w:style>
  <w:style w:type="paragraph" w:styleId="BodyTextIndent2">
    <w:name w:val="Body Text Indent 2"/>
    <w:basedOn w:val="Normal"/>
    <w:qFormat/>
    <w:pPr>
      <w:ind w:hanging="1080" w:start="1080" w:end="0"/>
    </w:pPr>
    <w:rPr>
      <w:rFonts w:ascii="Times New Roman" w:hAnsi="Times New Roman" w:cs="Times New Roman"/>
      <w:i/>
      <w:iCs/>
      <w:sz w:val="20"/>
    </w:rPr>
  </w:style>
  <w:style w:type="paragraph" w:styleId="BodyTextIndent3">
    <w:name w:val="Body Text Indent 3"/>
    <w:basedOn w:val="Normal"/>
    <w:qFormat/>
    <w:pPr>
      <w:ind w:firstLine="360" w:start="0" w:end="0"/>
    </w:pPr>
    <w:rPr>
      <w:rFonts w:ascii="Times New Roman" w:hAnsi="Times New Roman" w:cs="Times New Roman"/>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386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2000-11-20T22:30:00Z</dcterms:created>
  <dc:creator>Kimberly Kupiecki</dc:creator>
  <dc:description/>
  <dc:language>en-CA</dc:language>
  <cp:lastModifiedBy>jdasovic</cp:lastModifiedBy>
  <dcterms:modified xsi:type="dcterms:W3CDTF">2000-11-26T15:13:00Z</dcterms:modified>
  <cp:revision>49</cp:revision>
  <dc:subject/>
  <dc:title>Case 26-1, Global Industries, AG</dc:title>
</cp:coreProperties>
</file>