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40" w:after="60"/>
        <w:ind w:hanging="0" w:start="0"/>
        <w:rPr>
          <w:rFonts w:ascii="Times New Roman" w:hAnsi="Times New Roman" w:cs="Times New Roman"/>
          <w:sz w:val="20"/>
        </w:rPr>
      </w:pPr>
      <w:r>
        <w:rPr>
          <w:rFonts w:cs="Times New Roman" w:ascii="Times New Roman" w:hAnsi="Times New Roman"/>
          <w:sz w:val="20"/>
        </w:rPr>
        <w:t>Case 26-1, Global Industries, AG/E220</w:t>
      </w:r>
    </w:p>
    <w:p>
      <w:pPr>
        <w:pStyle w:val="Normal"/>
        <w:rPr>
          <w:rFonts w:ascii="Times New Roman" w:hAnsi="Times New Roman" w:cs="Times New Roman"/>
          <w:sz w:val="20"/>
        </w:rPr>
      </w:pPr>
      <w:r>
        <w:rPr>
          <w:rFonts w:cs="Times New Roman" w:ascii="Times New Roman" w:hAnsi="Times New Roman"/>
          <w:sz w:val="20"/>
        </w:rPr>
        <w:t>Jeff Dasovich</w:t>
      </w:r>
    </w:p>
    <w:p>
      <w:pPr>
        <w:pStyle w:val="BodyTextIndent"/>
        <w:ind w:hanging="0" w:start="0" w:end="0"/>
        <w:rPr>
          <w:i w:val="false"/>
          <w:i w:val="false"/>
        </w:rPr>
      </w:pPr>
      <w:r>
        <w:rPr>
          <w:i w:val="false"/>
        </w:rPr>
        <w:t>James Jackson</w:t>
      </w:r>
    </w:p>
    <w:p>
      <w:pPr>
        <w:pStyle w:val="BodyTextIndent"/>
        <w:ind w:hanging="0" w:start="0" w:end="0"/>
        <w:rPr>
          <w:i w:val="false"/>
          <w:i w:val="false"/>
        </w:rPr>
      </w:pPr>
      <w:r>
        <w:rPr>
          <w:i w:val="false"/>
        </w:rPr>
        <w:t>Kimberly Kupiecki</w:t>
      </w:r>
    </w:p>
    <w:p>
      <w:pPr>
        <w:pStyle w:val="BodyTextIndent"/>
        <w:ind w:hanging="0" w:start="0" w:end="0"/>
        <w:rPr>
          <w:i w:val="false"/>
          <w:i w:val="false"/>
        </w:rPr>
      </w:pPr>
      <w:r>
        <w:rPr>
          <w:i w:val="false"/>
        </w:rPr>
        <w:t>Christine Piesco</w:t>
      </w:r>
    </w:p>
    <w:p>
      <w:pPr>
        <w:pStyle w:val="BodyTextIndent"/>
        <w:ind w:hanging="0" w:start="0" w:end="0"/>
        <w:rPr>
          <w:i w:val="false"/>
          <w:i w:val="false"/>
        </w:rPr>
      </w:pPr>
      <w:r>
        <w:rPr>
          <w:i w:val="false"/>
        </w:rPr>
        <w:t>Dylan Windham</w:t>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sz w:val="20"/>
        </w:rPr>
      </w:pPr>
      <w:r>
        <w:rPr>
          <w:rFonts w:cs="Times New Roman" w:ascii="Times New Roman" w:hAnsi="Times New Roman"/>
          <w:sz w:val="20"/>
        </w:rPr>
      </w:r>
    </w:p>
    <w:p>
      <w:pPr>
        <w:pStyle w:val="BodyTextIndent"/>
        <w:rPr/>
      </w:pPr>
      <w:r>
        <w:rPr/>
        <w:t>Questions #1:</w:t>
        <w:tab/>
        <w:t>How should Global Industries account for contingency losses in fiscal years 1994 and 1995?</w:t>
      </w:r>
    </w:p>
    <w:p>
      <w:pPr>
        <w:pStyle w:val="Normal"/>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According to German GAAP, accruals and provisions may be recorded for uncertain liabilities and loss contingencies.  The application of this accounting standard is influenced by the requirement that prudence be observed.  All anticipated risks and losses must be recognized and recognition of unrealized profits is not allowed.  The concept requires an item-by-item approach to valuation.</w:t>
      </w:r>
    </w:p>
    <w:p>
      <w:pPr>
        <w:pStyle w:val="Normal"/>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All contingency items mentioned in the meetings are listed below with a comparison of how they were actually accounted for and what German GAAP recommends:</w:t>
      </w:r>
    </w:p>
    <w:p>
      <w:pPr>
        <w:pStyle w:val="Normal"/>
        <w:rPr>
          <w:rFonts w:ascii="Times New Roman" w:hAnsi="Times New Roman" w:cs="Times New Roman"/>
          <w:sz w:val="20"/>
        </w:rPr>
      </w:pPr>
      <w:r>
        <w:rPr>
          <w:rFonts w:cs="Times New Roman" w:ascii="Times New Roman" w:hAnsi="Times New Roman"/>
          <w:sz w:val="20"/>
        </w:rPr>
      </w:r>
    </w:p>
    <w:tbl>
      <w:tblPr>
        <w:tblW w:w="8856" w:type="dxa"/>
        <w:jc w:val="start"/>
        <w:tblInd w:w="0" w:type="dxa"/>
        <w:tblLayout w:type="fixed"/>
        <w:tblCellMar>
          <w:top w:w="0" w:type="dxa"/>
          <w:start w:w="108" w:type="dxa"/>
          <w:bottom w:w="0" w:type="dxa"/>
          <w:end w:w="108" w:type="dxa"/>
        </w:tblCellMar>
      </w:tblPr>
      <w:tblGrid>
        <w:gridCol w:w="1638"/>
        <w:gridCol w:w="3600"/>
        <w:gridCol w:w="3618"/>
      </w:tblGrid>
      <w:tr>
        <w:trPr/>
        <w:tc>
          <w:tcPr>
            <w:tcW w:w="163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bCs/>
                <w:i/>
                <w:i/>
                <w:iCs/>
                <w:sz w:val="20"/>
              </w:rPr>
            </w:pPr>
            <w:r>
              <w:rPr>
                <w:rFonts w:cs="Times New Roman" w:ascii="Times New Roman" w:hAnsi="Times New Roman"/>
                <w:b/>
                <w:bCs/>
                <w:i/>
                <w:iCs/>
                <w:sz w:val="20"/>
              </w:rPr>
              <w:t>Item</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bCs/>
                <w:i/>
                <w:i/>
                <w:iCs/>
                <w:sz w:val="20"/>
              </w:rPr>
            </w:pPr>
            <w:r>
              <w:rPr>
                <w:rFonts w:cs="Times New Roman" w:ascii="Times New Roman" w:hAnsi="Times New Roman"/>
                <w:b/>
                <w:bCs/>
                <w:i/>
                <w:iCs/>
                <w:sz w:val="20"/>
              </w:rPr>
              <w:t>Global Industries</w:t>
            </w:r>
          </w:p>
        </w:tc>
        <w:tc>
          <w:tcPr>
            <w:tcW w:w="361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bCs/>
                <w:i/>
                <w:i/>
                <w:iCs/>
                <w:sz w:val="20"/>
              </w:rPr>
            </w:pPr>
            <w:r>
              <w:rPr>
                <w:rFonts w:cs="Times New Roman" w:ascii="Times New Roman" w:hAnsi="Times New Roman"/>
                <w:b/>
                <w:bCs/>
                <w:i/>
                <w:iCs/>
                <w:sz w:val="20"/>
              </w:rPr>
              <w:t>German GAAP</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Accounts receivables losses</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Current practice applies the same bad debt expense policy to all receivables.  Recently increased bad debt expense from 2-4%.  In addition, bad debt expense set at 5% for receivables derived from new marketing program. </w:t>
            </w:r>
          </w:p>
        </w:tc>
        <w:tc>
          <w:tcPr>
            <w:tcW w:w="36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More prudence is required since the new program carries more credit risk than 1% (amount over current policy of 4%). Other companies in the same space employ a reserve of 7%.  7% represents a more reasonable level. Global should disclose.</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0"/>
              </w:rPr>
            </w:pPr>
            <w:r>
              <w:rPr>
                <w:rFonts w:cs="Times New Roman" w:ascii="Times New Roman" w:hAnsi="Times New Roman"/>
                <w:b/>
                <w:bCs/>
                <w:sz w:val="20"/>
              </w:rPr>
              <w:t>Warranty Obligations</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Expensed at time loss occurs—no accrual.</w:t>
            </w:r>
          </w:p>
        </w:tc>
        <w:tc>
          <w:tcPr>
            <w:tcW w:w="36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Global should accrue its warranty obligations.  Little reason to await the staff report.  Global should disclose.</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0"/>
              </w:rPr>
            </w:pPr>
            <w:r>
              <w:rPr>
                <w:rFonts w:cs="Times New Roman" w:ascii="Times New Roman" w:hAnsi="Times New Roman"/>
                <w:b/>
                <w:bCs/>
                <w:sz w:val="20"/>
              </w:rPr>
              <w:t>Catastrophe</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Property Insurance Group currently expenses premiums for re-insurance.  No reserves currently established for catastrophic losses, and from information provided, it’s unclear whether Global has disclosed the contingency.  Considering a proposal to create a reserve to cover catastrophic losses. </w:t>
            </w:r>
          </w:p>
        </w:tc>
        <w:tc>
          <w:tcPr>
            <w:tcW w:w="36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Assuming that German GAAP are comparable to US GAAP, Global could not accrue estimated losses related to future catastrophes.  Global should record those losses as they occur.  </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0"/>
              </w:rPr>
            </w:pPr>
            <w:r>
              <w:rPr>
                <w:rFonts w:cs="Times New Roman" w:ascii="Times New Roman" w:hAnsi="Times New Roman"/>
                <w:b/>
                <w:bCs/>
                <w:sz w:val="20"/>
              </w:rPr>
              <w:t>Litigation</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General reserve used to address current and future litigation contingencies. </w:t>
            </w:r>
          </w:p>
        </w:tc>
        <w:tc>
          <w:tcPr>
            <w:tcW w:w="36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Reserves should correspond to specific litigation contingency, rather than act as a “catch-all” general reserve to cover the potential for any and all suits that might arise.  Reserves to cover specific litigation should be accounted for on a case-by-case basis. 1) The discrimination suit is too uncertain to account for in the reporting period (can’t meet both conditions in FASB #5), but should be disclosed.  2) The product liability suit should be accured and disclosed since both conditions of FASB No. 5 are sufficiently met.  3) The patent infringement suit should neither be disclosed nor accrued, but the infringement should be halted.</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Appropriation of assets</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No contingency accrued.</w:t>
            </w:r>
          </w:p>
        </w:tc>
        <w:tc>
          <w:tcPr>
            <w:tcW w:w="36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Global should accrue and disclose the expropriation, since both conditions of FASB #5 are met. Global should report the contingency in the current accounting period since both conditions were met prior to release of the annual report.</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bCs/>
                <w:sz w:val="20"/>
              </w:rPr>
            </w:pPr>
            <w:r>
              <w:rPr>
                <w:rFonts w:cs="Times New Roman" w:ascii="Times New Roman" w:hAnsi="Times New Roman"/>
                <w:b/>
                <w:bCs/>
                <w:sz w:val="20"/>
              </w:rPr>
              <w:t>Loss due to customer default</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Given Global’s penchant for using reserves to smooth the effects on income of just about every contingency, Global might try to dip into “reserves” to cover the bad debt.</w:t>
            </w:r>
          </w:p>
        </w:tc>
        <w:tc>
          <w:tcPr>
            <w:tcW w:w="361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 xml:space="preserve">Global should charge the loss against bad debt reserves.  If the bad debt exceeds the reserve, Global Industries should reduce income by the difference.  Global should include the loss in this reporting period since the company could have known about the customer’s financial position. </w:t>
            </w:r>
          </w:p>
        </w:tc>
      </w:tr>
    </w:tbl>
    <w:p>
      <w:pPr>
        <w:pStyle w:val="Normal"/>
        <w:rPr>
          <w:rFonts w:ascii="Times New Roman" w:hAnsi="Times New Roman" w:cs="Times New Roman"/>
          <w:sz w:val="20"/>
        </w:rPr>
      </w:pPr>
      <w:r>
        <w:rPr>
          <w:rFonts w:cs="Times New Roman" w:ascii="Times New Roman" w:hAnsi="Times New Roman"/>
          <w:sz w:val="20"/>
        </w:rPr>
      </w:r>
    </w:p>
    <w:p>
      <w:pPr>
        <w:pStyle w:val="BodyTextIndent"/>
        <w:rPr/>
      </w:pPr>
      <w:r>
        <w:rPr/>
        <w:t>Questions #2:</w:t>
        <w:tab/>
        <w:t>Do you agree with the comments related to recognition and measurement of contingency losses expressed in the case?</w:t>
      </w:r>
    </w:p>
    <w:p>
      <w:pPr>
        <w:pStyle w:val="Normal"/>
        <w:rPr>
          <w:rFonts w:ascii="Times New Roman" w:hAnsi="Times New Roman" w:cs="Times New Roman"/>
          <w:sz w:val="20"/>
        </w:rPr>
      </w:pPr>
      <w:r>
        <w:rPr>
          <w:rFonts w:cs="Times New Roman" w:ascii="Times New Roman" w:hAnsi="Times New Roman"/>
          <w:sz w:val="20"/>
        </w:rPr>
      </w:r>
    </w:p>
    <w:p>
      <w:pPr>
        <w:pStyle w:val="Heading1"/>
        <w:ind w:hanging="0" w:start="0"/>
        <w:rPr/>
      </w:pPr>
      <w:r>
        <w:rPr/>
        <w:t>Bad Debt Expense and Warranties</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In general, Global’s overall approach to contingencies is to create a reserve that it can draw upon when needed to account for contigencies.  Global’s overriding concern regarding contingencies is how to manage contingencies in a way that permits Global to smooth and manage earnings.  According to German GAAP, contingency reserves need to be itemized.  Global Industries has a "miscellaneous reserve."  This seems contrary to an itemized treatment of contingencies.  The company uses the reserve as a cushion to smooth earnings.  If the company itemized contingencies, it would not need a miscellaneous reserve.</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The provision for accounts receivable was clearly underestimated.  The new marketing program introduced significant risk to collection of customer payments.  The case states that the marketing program was targeted at small to medium-sized companies - these had the greatest difficulty paying for products.  The contingency for bad debt was only increased by one percent - from 4% to 5% - however, this number was not well explained and seemed arbitrary.  Moreover, Global groups all receivables together rather than differentiate receivables among customer segments.  It would be considerably more accurate to differentiate receivables by groups, which would likely result in a figure closer to 7%.  In addition, the discussion regarding which policy to adopt for warranties seemed much more preoccupied with the ability to “smooth” earnings than with accurate financial reporting.</w:t>
      </w:r>
    </w:p>
    <w:p>
      <w:pPr>
        <w:pStyle w:val="Normal"/>
        <w:rPr>
          <w:rFonts w:ascii="Times New Roman" w:hAnsi="Times New Roman" w:cs="Times New Roman"/>
          <w:sz w:val="20"/>
        </w:rPr>
      </w:pPr>
      <w:r>
        <w:rPr>
          <w:rFonts w:cs="Times New Roman" w:ascii="Times New Roman" w:hAnsi="Times New Roman"/>
          <w:sz w:val="20"/>
        </w:rPr>
      </w:r>
    </w:p>
    <w:p>
      <w:pPr>
        <w:pStyle w:val="Heading1"/>
        <w:ind w:hanging="0" w:start="0"/>
        <w:rPr/>
      </w:pPr>
      <w:r>
        <w:rPr/>
        <w:t>The Property Insurance Group</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 xml:space="preserve">According to U.S. GAAP, the insurance arm of the company, Property Insurance Group, should not accrue estimated losses related to future catastrophes.  It is unclear whether German GAAP has a similar guideline, but assuming that German GAAP are similar to US GAAP, neither accrual nor reserves is allowed.  </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The Global executive claims that catastrophies are “certain” events and therefore should not be viewed as contingencies.  This is incorrect, since other items, such as bad debt expense, could also be viewed as “certain.”  In sum, under this view, very few items would classify as contingenciesat all.  Equally misguided is the executive’s suggestion that Global ought to accrue catastrophic costs as revenue (premiums) is recorded.  We disagree.  The executive asserts that firms can estimate catastrophic losses as easily as it can estimate can estimate cost of goods sold, or salary costs, which seems very unlikely, at least with respect to near term estimates of catastrophic losses.</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In the same discussion, another executive implies that, from a financial reporting perspective, premiums for reinsurance and accrual of estimated losses are similar since in both cases “income is reduced prior to the catastrophe.”  This is a clear case of mixing accounting apples and oranges.  There is little similarity, if any, between the premium paid to reduce the risks of catastrophic events an estimates of the costs of future, uncertain catastrophic events.</w:t>
      </w:r>
    </w:p>
    <w:p>
      <w:pPr>
        <w:pStyle w:val="Normal"/>
        <w:rPr>
          <w:rFonts w:ascii="Times New Roman" w:hAnsi="Times New Roman" w:cs="Times New Roman"/>
          <w:sz w:val="20"/>
        </w:rPr>
      </w:pPr>
      <w:r>
        <w:rPr>
          <w:rFonts w:cs="Times New Roman" w:ascii="Times New Roman" w:hAnsi="Times New Roman"/>
          <w:sz w:val="20"/>
        </w:rPr>
      </w:r>
    </w:p>
    <w:p>
      <w:pPr>
        <w:pStyle w:val="Heading1"/>
        <w:ind w:hanging="0" w:start="0"/>
        <w:rPr/>
      </w:pPr>
      <w:r>
        <w:rPr/>
        <w:t>Litigation</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 xml:space="preserve">Global did not itemize litigation contingencies in a manner that matched the accounting period with the litigation period.  Global created a general fund that it draws upon to cover litigation losses as they arise.  Global Industries should itemize these costs separately and should not account for potential suits in the future such as the patent infringement suit.  The discussion surrounding the patent infringement case is troubling.  The executives discuss the fact that Global is knowingly infringing upon a patent and attempt to determine how to plan for the costs of a potential suit, as if infringement is simply a cost of doing business.  </w:t>
      </w:r>
    </w:p>
    <w:p>
      <w:pPr>
        <w:pStyle w:val="Normal"/>
        <w:rPr>
          <w:rFonts w:ascii="Times New Roman" w:hAnsi="Times New Roman" w:cs="Times New Roman"/>
          <w:sz w:val="20"/>
        </w:rPr>
      </w:pPr>
      <w:r>
        <w:rPr>
          <w:rFonts w:cs="Times New Roman" w:ascii="Times New Roman" w:hAnsi="Times New Roman"/>
          <w:sz w:val="20"/>
        </w:rPr>
      </w:r>
    </w:p>
    <w:p>
      <w:pPr>
        <w:pStyle w:val="Heading1"/>
        <w:ind w:hanging="0" w:start="0"/>
        <w:rPr/>
      </w:pPr>
      <w:r>
        <w:rPr/>
        <w:t>Expropriation</w:t>
      </w:r>
    </w:p>
    <w:p>
      <w:pPr>
        <w:pStyle w:val="Normal"/>
        <w:ind w:firstLine="720" w:end="0"/>
        <w:rPr>
          <w:rFonts w:ascii="Times New Roman" w:hAnsi="Times New Roman" w:cs="Times New Roman"/>
          <w:sz w:val="20"/>
        </w:rPr>
      </w:pPr>
      <w:r>
        <w:rPr>
          <w:rFonts w:cs="Times New Roman" w:ascii="Times New Roman" w:hAnsi="Times New Roman"/>
          <w:sz w:val="20"/>
        </w:rPr>
        <w:t>We agree with the executive that Global should report the expropriation contingency in its 1994 report since both conditions included in FASB #5 were met:  1) sufficient information to assess that a loss is probable and 2) the loss could be reasonably estimated.  Matuto took power in 1994 and it was known that he would nationalize major industries.  (Technically, though, there is room for Global to argue that while Matuto did take power in 1994, actions related to expropriations really didn’t occur until 1995. In this case, Global could disclose in 1994 and accrue in 1995.  Nonetheless, the case seems stronger for accrual and disclosure in the 1994 report.)</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We disagree with the conclusion by the executive that “regardless of whether we take the loss in 1994 or 1995 it will not hurt earnings.”  Global’s repeated reliance on a general fund to smooth and manage earnings is misleading to the users of Global’s financial reports.</w:t>
      </w:r>
    </w:p>
    <w:p>
      <w:pPr>
        <w:pStyle w:val="Normal"/>
        <w:ind w:firstLine="720" w:end="0"/>
        <w:rPr>
          <w:rFonts w:ascii="Times New Roman" w:hAnsi="Times New Roman" w:cs="Times New Roman"/>
          <w:sz w:val="20"/>
        </w:rPr>
      </w:pPr>
      <w:r>
        <w:rPr>
          <w:rFonts w:cs="Times New Roman" w:ascii="Times New Roman" w:hAnsi="Times New Roman"/>
          <w:sz w:val="20"/>
        </w:rPr>
      </w:r>
    </w:p>
    <w:p>
      <w:pPr>
        <w:pStyle w:val="BodyTextIndent2"/>
        <w:rPr>
          <w:i w:val="false"/>
          <w:i w:val="false"/>
          <w:iCs w:val="false"/>
        </w:rPr>
      </w:pPr>
      <w:r>
        <w:rPr/>
        <w:t>Question #3:  If Global Industries was subject to US GAAP, how would it have to account for the contingency losses discussed at the two Supervisory Board Meetings?</w:t>
      </w:r>
    </w:p>
    <w:p>
      <w:pPr>
        <w:pStyle w:val="BodyTextIndent2"/>
        <w:rPr>
          <w:i w:val="false"/>
          <w:i w:val="false"/>
          <w:iCs w:val="false"/>
        </w:rPr>
      </w:pPr>
      <w:r>
        <w:rPr>
          <w:i w:val="false"/>
          <w:iCs w:val="false"/>
        </w:rPr>
      </w:r>
    </w:p>
    <w:p>
      <w:pPr>
        <w:pStyle w:val="BodyTextIndent2"/>
        <w:ind w:firstLine="360" w:start="0" w:end="0"/>
        <w:rPr>
          <w:i w:val="false"/>
          <w:i w:val="false"/>
          <w:iCs w:val="false"/>
        </w:rPr>
      </w:pPr>
      <w:r>
        <w:rPr>
          <w:i w:val="false"/>
          <w:iCs w:val="false"/>
        </w:rPr>
        <w:t>In general, US GAAP would not permit Global to establish a “general fund” upon which it could draw to cover contingencies and smooth earnings.</w:t>
      </w:r>
    </w:p>
    <w:p>
      <w:pPr>
        <w:pStyle w:val="Normal"/>
        <w:ind w:hanging="1080" w:start="1080" w:end="0"/>
        <w:rPr>
          <w:rFonts w:ascii="Times New Roman" w:hAnsi="Times New Roman" w:cs="Times New Roman"/>
          <w:i/>
          <w:i/>
          <w:iCs/>
          <w:sz w:val="20"/>
        </w:rPr>
      </w:pPr>
      <w:r>
        <w:rPr>
          <w:rFonts w:cs="Times New Roman" w:ascii="Times New Roman" w:hAnsi="Times New Roman"/>
          <w:i/>
          <w:iCs/>
          <w:sz w:val="20"/>
        </w:rPr>
      </w:r>
    </w:p>
    <w:p>
      <w:pPr>
        <w:pStyle w:val="Heading1"/>
        <w:ind w:hanging="0" w:start="0"/>
        <w:rPr/>
      </w:pPr>
      <w:r>
        <w:rPr/>
        <w:t>Allowance for doubtful accounts</w:t>
      </w:r>
    </w:p>
    <w:p>
      <w:pPr>
        <w:pStyle w:val="Normal"/>
        <w:ind w:firstLine="360" w:end="0"/>
        <w:rPr>
          <w:rFonts w:ascii="Times New Roman" w:hAnsi="Times New Roman" w:cs="Times New Roman"/>
          <w:sz w:val="20"/>
        </w:rPr>
      </w:pPr>
      <w:r>
        <w:rPr>
          <w:rFonts w:cs="Times New Roman" w:ascii="Times New Roman" w:hAnsi="Times New Roman"/>
          <w:sz w:val="20"/>
        </w:rPr>
        <w:t>Though Global has discretion in setting policy, GAAP would suggest that Global should not “blend” all accounts receivables.  Instead, Global should group “like” accounts, which suggests that the allowance policy for the Plastics Group should be more in line with industry experience and standards—7% percent.  Global should fully disclose the policy and details of the contingency.</w:t>
      </w:r>
    </w:p>
    <w:p>
      <w:pPr>
        <w:pStyle w:val="Normal"/>
        <w:rPr>
          <w:rFonts w:ascii="Times New Roman" w:hAnsi="Times New Roman" w:cs="Times New Roman"/>
          <w:sz w:val="20"/>
        </w:rPr>
      </w:pPr>
      <w:r>
        <w:rPr>
          <w:rFonts w:cs="Times New Roman" w:ascii="Times New Roman" w:hAnsi="Times New Roman"/>
          <w:sz w:val="20"/>
        </w:rPr>
        <w:t xml:space="preserve"> </w:t>
      </w:r>
    </w:p>
    <w:p>
      <w:pPr>
        <w:pStyle w:val="Heading1"/>
        <w:ind w:hanging="0" w:start="0"/>
        <w:rPr/>
      </w:pPr>
      <w:r>
        <w:rPr/>
        <w:t>Warranties</w:t>
      </w:r>
    </w:p>
    <w:p>
      <w:pPr>
        <w:pStyle w:val="Normal"/>
        <w:ind w:firstLine="360" w:end="0"/>
        <w:rPr>
          <w:rFonts w:ascii="Times New Roman" w:hAnsi="Times New Roman" w:cs="Times New Roman"/>
          <w:sz w:val="20"/>
        </w:rPr>
      </w:pPr>
      <w:r>
        <w:rPr>
          <w:rFonts w:cs="Times New Roman" w:ascii="Times New Roman" w:hAnsi="Times New Roman"/>
          <w:sz w:val="20"/>
        </w:rPr>
        <w:t>Global should accrue the allowance for warranties and fully disclose the policy and details of the contingency.</w:t>
      </w:r>
    </w:p>
    <w:p>
      <w:pPr>
        <w:pStyle w:val="Normal"/>
        <w:rPr>
          <w:rFonts w:ascii="Times New Roman" w:hAnsi="Times New Roman" w:cs="Times New Roman"/>
          <w:sz w:val="20"/>
        </w:rPr>
      </w:pPr>
      <w:r>
        <w:rPr>
          <w:rFonts w:cs="Times New Roman" w:ascii="Times New Roman" w:hAnsi="Times New Roman"/>
          <w:sz w:val="20"/>
        </w:rPr>
      </w:r>
    </w:p>
    <w:p>
      <w:pPr>
        <w:pStyle w:val="Heading1"/>
        <w:ind w:hanging="0" w:start="0"/>
        <w:rPr/>
      </w:pPr>
      <w:r>
        <w:rPr/>
        <w:t>Catastrophic losses</w:t>
      </w:r>
    </w:p>
    <w:p>
      <w:pPr>
        <w:pStyle w:val="Normal"/>
        <w:ind w:firstLine="360" w:end="0"/>
        <w:rPr>
          <w:rFonts w:ascii="Times New Roman" w:hAnsi="Times New Roman" w:cs="Times New Roman"/>
          <w:sz w:val="20"/>
        </w:rPr>
      </w:pPr>
      <w:r>
        <w:rPr>
          <w:rFonts w:cs="Times New Roman" w:ascii="Times New Roman" w:hAnsi="Times New Roman"/>
          <w:sz w:val="20"/>
        </w:rPr>
        <w:t>Consistent with FASB #5, Global should not accrue the contingency.  Global should record any costs as they are incurred.  Any premiums paid for reinsurance should be recorded as an expense as incurred.  Global should fully disclose the contingency.</w:t>
      </w:r>
    </w:p>
    <w:p>
      <w:pPr>
        <w:pStyle w:val="Normal"/>
        <w:rPr>
          <w:rFonts w:ascii="Times New Roman" w:hAnsi="Times New Roman" w:cs="Times New Roman"/>
          <w:b/>
          <w:bCs/>
          <w:sz w:val="20"/>
        </w:rPr>
      </w:pPr>
      <w:r>
        <w:rPr>
          <w:rFonts w:cs="Times New Roman" w:ascii="Times New Roman" w:hAnsi="Times New Roman"/>
          <w:b/>
          <w:bCs/>
          <w:sz w:val="20"/>
        </w:rPr>
      </w:r>
    </w:p>
    <w:p>
      <w:pPr>
        <w:pStyle w:val="Heading1"/>
        <w:ind w:hanging="0" w:start="0"/>
        <w:rPr/>
      </w:pPr>
      <w:r>
        <w:rPr/>
        <w:t>Litigation</w:t>
      </w:r>
    </w:p>
    <w:p>
      <w:pPr>
        <w:pStyle w:val="Normal"/>
        <w:ind w:hanging="2160" w:start="2160" w:end="0"/>
        <w:rPr/>
      </w:pPr>
      <w:r>
        <w:rPr>
          <w:rFonts w:cs="Times New Roman" w:ascii="Times New Roman" w:hAnsi="Times New Roman"/>
          <w:i/>
          <w:iCs/>
          <w:sz w:val="20"/>
        </w:rPr>
        <w:t>Discrimination case</w:t>
      </w:r>
      <w:r>
        <w:rPr>
          <w:rFonts w:cs="Times New Roman" w:ascii="Times New Roman" w:hAnsi="Times New Roman"/>
          <w:sz w:val="20"/>
        </w:rPr>
        <w:t>:</w:t>
        <w:tab/>
        <w:t>Disclose this period but do not accrue.  Too much uncertainty persists with respect to 1) when the suit might be resolved and 2) what the losses of the suit might be.</w:t>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pPr>
      <w:r>
        <w:rPr>
          <w:rFonts w:cs="Times New Roman" w:ascii="Times New Roman" w:hAnsi="Times New Roman"/>
          <w:i/>
          <w:iCs/>
          <w:sz w:val="20"/>
        </w:rPr>
        <w:t>Product failure case</w:t>
      </w:r>
      <w:r>
        <w:rPr>
          <w:rFonts w:cs="Times New Roman" w:ascii="Times New Roman" w:hAnsi="Times New Roman"/>
          <w:sz w:val="20"/>
        </w:rPr>
        <w:t>:</w:t>
        <w:tab/>
        <w:t>Accure and disclose this period.  Both conditions in FASB #5 are met.  There is sufficient certainty that a loss will be incurred and the amount of the loss can be reasonably estimated.  This assumes that each piece of the negotiation is part of a single settlement and cannot therefore be broken into pieces.  That is, we assume that the $1 million figure already agreed to is part of the overall settlement and will not be final until the other pieces of the negotiation are completed.  In this case, the disclosure and/or accrual would not take place “piecemeal.”</w:t>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pPr>
      <w:r>
        <w:rPr>
          <w:rFonts w:cs="Times New Roman" w:ascii="Times New Roman" w:hAnsi="Times New Roman"/>
          <w:i/>
          <w:iCs/>
          <w:sz w:val="20"/>
        </w:rPr>
        <w:t>Patent infringement</w:t>
      </w:r>
      <w:r>
        <w:rPr>
          <w:rFonts w:cs="Times New Roman" w:ascii="Times New Roman" w:hAnsi="Times New Roman"/>
          <w:sz w:val="20"/>
        </w:rPr>
        <w:t>:</w:t>
        <w:tab/>
        <w:t>Neither disclose nor accrue.  It is troubling that Global is knowingly infriging on a patent and recording that fact in business meeting notes.  Clearly, to admit infringement in the annual report would invite litigation, which Global’s own lawyers admit is likely to turn out badly for Global if pursued.</w:t>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pPr>
      <w:r>
        <w:rPr>
          <w:rFonts w:cs="Times New Roman" w:ascii="Times New Roman" w:hAnsi="Times New Roman"/>
          <w:i/>
          <w:iCs/>
          <w:sz w:val="20"/>
        </w:rPr>
        <w:t>Expropriation</w:t>
      </w:r>
      <w:r>
        <w:rPr>
          <w:rFonts w:cs="Times New Roman" w:ascii="Times New Roman" w:hAnsi="Times New Roman"/>
          <w:sz w:val="20"/>
        </w:rPr>
        <w:t>:</w:t>
        <w:tab/>
        <w:t>Accrue and report in this period.   Both conditions in FASB #5 are met, and both conditions were met prior to the end of the current reporting period.  The government announced its actions and provided sufficient information to make estimates of the loss reasonably estimated.</w:t>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pPr>
      <w:r>
        <w:rPr>
          <w:rFonts w:cs="Times New Roman" w:ascii="Times New Roman" w:hAnsi="Times New Roman"/>
          <w:i/>
          <w:iCs/>
          <w:sz w:val="20"/>
        </w:rPr>
        <w:t>Customer default</w:t>
      </w:r>
      <w:r>
        <w:rPr>
          <w:rFonts w:cs="Times New Roman" w:ascii="Times New Roman" w:hAnsi="Times New Roman"/>
          <w:sz w:val="20"/>
        </w:rPr>
        <w:t>:</w:t>
        <w:tab/>
        <w:t>Though Global has some discretion under US GAAP, we recommend that Global accrue and disclose the loss in 1994.  Global should have been aware of the customer’s financial position—FASB #5 does not appear to excuse a firm from accruing a loss due to ignorance.  Therefore, since Global should have known about the customer’s financial position, and since the loss is reasonably estimated, Global should accrue and disclose the loss this period.</w:t>
      </w:r>
    </w:p>
    <w:p>
      <w:pPr>
        <w:pStyle w:val="BodyText"/>
        <w:numPr>
          <w:ilvl w:val="0"/>
          <w:numId w:val="2"/>
        </w:numPr>
        <w:rPr/>
      </w:pPr>
      <w:r>
        <w:rPr/>
        <w:t>How should Global Industries account for the restructuring costs associated with the restructuring actions listed in Exhibit 1?</w:t>
      </w:r>
    </w:p>
    <w:p>
      <w:pPr>
        <w:pStyle w:val="Normal"/>
        <w:rPr>
          <w:rFonts w:ascii="Times New Roman" w:hAnsi="Times New Roman" w:cs="Times New Roman"/>
          <w:sz w:val="20"/>
        </w:rPr>
      </w:pPr>
      <w:r>
        <w:rPr>
          <w:rFonts w:cs="Times New Roman" w:ascii="Times New Roman" w:hAnsi="Times New Roman"/>
          <w:sz w:val="20"/>
        </w:rPr>
      </w:r>
    </w:p>
    <w:p>
      <w:pPr>
        <w:pStyle w:val="BodyTextIndent"/>
        <w:ind w:firstLine="360" w:start="0" w:end="0"/>
        <w:rPr>
          <w:i w:val="false"/>
          <w:i w:val="false"/>
          <w:iCs w:val="false"/>
        </w:rPr>
      </w:pPr>
      <w:r>
        <w:rPr>
          <w:i w:val="false"/>
          <w:iCs w:val="false"/>
        </w:rPr>
        <w:t>Global Industries is a German company and is therefore required to adhere to the Generally Accepted Accounting Procedures (GAAP) of Germany.  In the text of the case the only guidance we are given for the reporting requirements under German GAAP is that “accruals or provisions may be recorded for uncertain liabilities and loss contingencies”.  The overriding requirement is that the reporting is that the “prudence concept be observed”.</w:t>
      </w:r>
    </w:p>
    <w:p>
      <w:pPr>
        <w:pStyle w:val="Normal"/>
        <w:ind w:start="720" w:end="0"/>
        <w:rPr>
          <w:rFonts w:ascii="Times New Roman" w:hAnsi="Times New Roman" w:cs="Times New Roman"/>
          <w:i/>
          <w:i/>
          <w:iCs/>
          <w:sz w:val="20"/>
        </w:rPr>
      </w:pPr>
      <w:r>
        <w:rPr>
          <w:rFonts w:cs="Times New Roman" w:ascii="Times New Roman" w:hAnsi="Times New Roman"/>
          <w:i/>
          <w:iCs/>
          <w:sz w:val="20"/>
        </w:rPr>
      </w:r>
    </w:p>
    <w:p>
      <w:pPr>
        <w:pStyle w:val="BodyTextIndent3"/>
        <w:rPr/>
      </w:pPr>
      <w:r>
        <w:rPr/>
        <w:t>Based on this lose definition, Global Industries would choose to make provisions for any loses immediately and then charge the actual loses against the accruals as they occur.  In Karl Ebner’s memo to the Supervisory Board, he outlines eight items that will arise in the restructuring that may require an accounting adjustment.</w:t>
      </w:r>
    </w:p>
    <w:p>
      <w:pPr>
        <w:pStyle w:val="Normal"/>
        <w:ind w:start="720" w:end="0"/>
        <w:rPr>
          <w:rFonts w:ascii="Times New Roman" w:hAnsi="Times New Roman" w:cs="Times New Roman"/>
          <w:sz w:val="20"/>
        </w:rPr>
      </w:pPr>
      <w:r>
        <w:rPr>
          <w:rFonts w:cs="Times New Roman" w:ascii="Times New Roman" w:hAnsi="Times New Roman"/>
          <w:sz w:val="20"/>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Restructuring Item</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 w:val="20"/>
              </w:rPr>
            </w:pPr>
            <w:r>
              <w:rPr>
                <w:rFonts w:cs="Times New Roman" w:ascii="Times New Roman" w:hAnsi="Times New Roman"/>
                <w:b/>
                <w:sz w:val="20"/>
              </w:rPr>
              <w:t>Proposed Treatment under German GAAP</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1.  Ceasing of operations in the Essen facility.  Lease cancellation penalty to be incurred.</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With the idea of prudence in mind, it would be important to include this as a restructuring charge.  By setting up an allowance for this change, Global can incur this cost now and charge it as part of the overall restructuring.  It would include the entire cancellation penalty in the accrual account and when that penalty is actually incurred charge against this accrual account.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2.  Closing the New Jersey plant.  Accounting issues include the salaries of employees held on after the plant ceases all operations as well as the lease costs incurred after operations.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If Global was interested in keeping all costs of the restructuring together in one lump charge so that it was not to impact its earnings in future periods, it may be possible to include both of these costs in the accrual for restructuring charges.  They could easily argue that if that had not undertaken the restructuring these costs would not have been incurred at a loss.  The revenue of the plant would have offset them and therefore these costs should be seen as part of the overall restructuring of the company.</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3.  Sub-contracting of the warranty work of products sold before the commitment date and after the commitment date.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Under current practices, Global should have been accruing a liability related to the possible warranty costs associated with the sale of their goods.  Since the service contract Global is about to enter into an agreement that contains more costs per unit then are currently being accrued, the question arises as to what to do with the difference.  Global would obviously wish to claim that the increase in the warranty costs are due to the restructuring and shutting down that particular line of business.  This question becomes more difficult as to the products that are being sold after the commitment date.  Global could extend the above argument that the restructuring is causing the warranty costs to increase, but it is more difficult since the accrual of these costs usually occurs at sale.  Therefore, Global might have to incur the higher warranty costs as an operations expense rather than charging them against the restructuring.</w:t>
            </w:r>
          </w:p>
          <w:p>
            <w:pPr>
              <w:pStyle w:val="Normal"/>
              <w:rPr>
                <w:rFonts w:ascii="Times New Roman" w:hAnsi="Times New Roman" w:cs="Times New Roman"/>
                <w:sz w:val="20"/>
              </w:rPr>
            </w:pPr>
            <w:r>
              <w:rPr>
                <w:rFonts w:cs="Times New Roman" w:ascii="Times New Roman" w:hAnsi="Times New Roman"/>
                <w:sz w:val="20"/>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4.  Development of computer software to increase efficiency of remaining worker to offset loss of lying off workers.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Global would have a difficult time claiming that these costs are directly associated with the restructuring.  The software package would be seen as an investment allowing for the restructuring not a cost of the overall restructuring.</w:t>
            </w:r>
          </w:p>
          <w:p>
            <w:pPr>
              <w:pStyle w:val="Normal"/>
              <w:rPr>
                <w:rFonts w:ascii="Times New Roman" w:hAnsi="Times New Roman" w:cs="Times New Roman"/>
                <w:sz w:val="20"/>
              </w:rPr>
            </w:pPr>
            <w:r>
              <w:rPr>
                <w:rFonts w:cs="Times New Roman" w:ascii="Times New Roman" w:hAnsi="Times New Roman"/>
                <w:sz w:val="20"/>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5.  Cost of consultants to realign corporate goals of the East Coast USA division.</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Global would want to keep these costs as part of the overall restructuring plan.  They could easily argue that under a commitment to prudence, that these costs were to be incurred under the companies desire to transform its business.  As such these costs should not impact the financial statements of the company past the date that they committed to such a change.  Under this argument, Global would immediately charge these costs and establish an accrual account allowing for these future costs.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6.  Retraining and re-location of employees in Germany and at foreign locations.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Without the restructuring, none of these costs would have been incurred.  Under this it would be appropriate for Global to include these costs as part of the restructuring and charge them against the accrual account when realized.</w:t>
            </w:r>
          </w:p>
          <w:p>
            <w:pPr>
              <w:pStyle w:val="Normal"/>
              <w:rPr>
                <w:rFonts w:ascii="Times New Roman" w:hAnsi="Times New Roman" w:cs="Times New Roman"/>
                <w:sz w:val="20"/>
              </w:rPr>
            </w:pPr>
            <w:r>
              <w:rPr>
                <w:rFonts w:cs="Times New Roman" w:ascii="Times New Roman" w:hAnsi="Times New Roman"/>
                <w:sz w:val="20"/>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7.  Shipping costs of consolidating machinery and inventory from US plant to Singapore.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Global would also state that this charge was part of the closing of the US plant.  Since the restructuring plan calls for such a consolidation, the costs incurred for the consolidation would be accounted for immediately and charge against the previous accrual when realized.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8.  Loses incurred in the Trenton plant from commitment date to closing date.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Global could claim that these losses would only be caused by the overall shutdown of the plant.  If the plant only stayed open to fulfill current orders and did not take on any new orders, this should not be shown in the operating section of the income statement.  The loses that are caused due to increased overhead per unit are therefore a result of the restructuring decision to close the plant and should be charged against the restructuring accrual accounts.</w:t>
            </w:r>
          </w:p>
          <w:p>
            <w:pPr>
              <w:pStyle w:val="Normal"/>
              <w:rPr>
                <w:rFonts w:ascii="Times New Roman" w:hAnsi="Times New Roman" w:cs="Times New Roman"/>
                <w:sz w:val="20"/>
              </w:rPr>
            </w:pPr>
            <w:r>
              <w:rPr>
                <w:rFonts w:cs="Times New Roman" w:ascii="Times New Roman" w:hAnsi="Times New Roman"/>
                <w:sz w:val="20"/>
              </w:rPr>
            </w:r>
          </w:p>
        </w:tc>
      </w:tr>
    </w:tbl>
    <w:p>
      <w:pPr>
        <w:pStyle w:val="Normal"/>
        <w:rPr>
          <w:rFonts w:ascii="Times New Roman" w:hAnsi="Times New Roman" w:cs="Times New Roman"/>
          <w:sz w:val="20"/>
        </w:rPr>
      </w:pPr>
      <w:r>
        <w:rPr>
          <w:rFonts w:cs="Times New Roman" w:ascii="Times New Roman" w:hAnsi="Times New Roman"/>
          <w:sz w:val="20"/>
        </w:rPr>
      </w:r>
    </w:p>
    <w:p>
      <w:pPr>
        <w:pStyle w:val="BodyTextIndent3"/>
        <w:rPr/>
      </w:pPr>
      <w:r>
        <w:rPr/>
        <w:t>The above analysis is based on the assumption that Global would rather take all costs as part of the restructuring charge.  This assumption is sound since users of financial statements typically will ignore restructuring charges and focus in on the effect that the restructuring will have on long term profitability.  Global would therefore wish to include all possible charges in the restructuring charges so that they would not impact on future period’s income statements.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BodyText"/>
        <w:numPr>
          <w:ilvl w:val="0"/>
          <w:numId w:val="2"/>
        </w:numPr>
        <w:rPr/>
      </w:pPr>
      <w:r>
        <w:rPr/>
        <w:t>If Global Industries was subject to U.S. GAAP, how would it have to account for the restructuring costs associated with the restructuring actions listed in Exhibit 1?</w:t>
      </w:r>
    </w:p>
    <w:p>
      <w:pPr>
        <w:pStyle w:val="Normal"/>
        <w:rPr>
          <w:rFonts w:ascii="Times New Roman" w:hAnsi="Times New Roman" w:cs="Times New Roman"/>
          <w:sz w:val="20"/>
        </w:rPr>
      </w:pPr>
      <w:r>
        <w:rPr>
          <w:rFonts w:cs="Times New Roman" w:ascii="Times New Roman" w:hAnsi="Times New Roman"/>
          <w:sz w:val="20"/>
        </w:rPr>
      </w:r>
    </w:p>
    <w:p>
      <w:pPr>
        <w:pStyle w:val="BodyTextIndent3"/>
        <w:rPr/>
      </w:pPr>
      <w:r>
        <w:rPr/>
        <w:t>Since restructuring usually contain many different activities including the discontinuation of certain operations, the laying off of workers, and the repositioning of assets and business units remaining in a company, there are several different sources on accounting rules describing how to handle charges.  These include FASB Statements No. 5, 30, and 112, as well as opinions of FASB’s Emerging Issues Task Forces.  These sources provide us with guidelines on how Global would have to account for the same issues stated above if they were subject to US GAAP.</w:t>
      </w:r>
    </w:p>
    <w:p>
      <w:pPr>
        <w:pStyle w:val="Normal"/>
        <w:rPr>
          <w:rFonts w:ascii="Times New Roman" w:hAnsi="Times New Roman" w:cs="Times New Roman"/>
          <w:sz w:val="20"/>
        </w:rPr>
      </w:pPr>
      <w:r>
        <w:rPr>
          <w:rFonts w:cs="Times New Roman" w:ascii="Times New Roman" w:hAnsi="Times New Roman"/>
          <w:sz w:val="20"/>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Restructuring Item</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sz w:val="20"/>
              </w:rPr>
            </w:pPr>
            <w:r>
              <w:rPr>
                <w:rFonts w:cs="Times New Roman" w:ascii="Times New Roman" w:hAnsi="Times New Roman"/>
                <w:b/>
                <w:sz w:val="20"/>
              </w:rPr>
              <w:t>Proposed Treatment under U.S. GAAP</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1.  Ceasing of operations in the Essen facility.  Lease cancellation penalty to be incurred.</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Since the plant is to cease all operations immediately, there is no continuing economic benefit from the plant.  If the plant was its own business operation as defined by FASB No. 30, it would be classified as a discontinued operation and all the costs of the discontinuing would appear in that section.  If it was simply a plant in an operation that was continuing, the lease cancellation penalty could be part of the restructuring charge and therefore part of the accrual account.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2.  Closing the New Jersey plant.  Accounting issues include the salaries of employees held on after the plant ceases all operations as well as the lease costs incurred after operations.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The issues regarding the New Jersey plant hinge around if Global was to receive any economic benefit during this period.  If the time were spent to pack up inventory and ship it to other facilities the costs then would not be accruable but charged against operations.  If this was not the case and no future economic benefit could be derived from any activities during this time, it could also be part of the restructuring charge.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3.  Sub-contracting of the warranty work of products sold before the commitment date and after the commitment date.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The additional warranty costs of the goods sold prior to commitment date would be subject to accrual accounting.  Since these charges stem from a commitment made prior to the restructuring announcement, FASB’s EITF has determined that they are part of the restructuring.  The costs associated with the warranties of goods sold after the commitment date would not be eligible since they are associated with revenues incurred after the commitment date.  These additional costs should be part of the normal warranty contingency accrual.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4.  Development of computer software to increase efficiency of remaining worker to offset loss of lying off workers.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FASB would not allow any of these costs to be accrued because they have obvious economic benefits to the company in future periods.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5.  Cost of consultants to realign corporate goals of the East Coast USA division.</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These consultants would be hired to realign the East Coast Division.  Their work and suggestions will have continuing economic benefit to the company past the end of the restructuring and therefore would not be part of the restructuring charges.</w:t>
            </w:r>
          </w:p>
          <w:p>
            <w:pPr>
              <w:pStyle w:val="Normal"/>
              <w:rPr>
                <w:rFonts w:ascii="Times New Roman" w:hAnsi="Times New Roman" w:cs="Times New Roman"/>
                <w:sz w:val="20"/>
              </w:rPr>
            </w:pPr>
            <w:r>
              <w:rPr>
                <w:rFonts w:cs="Times New Roman" w:ascii="Times New Roman" w:hAnsi="Times New Roman"/>
                <w:sz w:val="20"/>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6.  Retraining and re-location of employees in Germany and at foreign locations.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If Global was not already accruing for these charges as part of the compensation expense, these costs could be accrued for if the following conditions are met.  The management commits to the changes that would require these costs.  The retraining and relocation benefits are communicated to its employees.  The plan includes the number of employees to be effected including job functions and locations.  The period of time for the restructuring does not allow for significant changes to the plan of terminations.  If all these apply in this case then these costs could be included in the restructuring charge.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7.  Shipping costs of consolidating machinery and inventory from US plant to Singapore.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The shipping of these articles will continue to provide economic benefit to the company in the future and therefore would not be subject to any accrual for these charges.</w:t>
            </w:r>
          </w:p>
          <w:p>
            <w:pPr>
              <w:pStyle w:val="Normal"/>
              <w:rPr>
                <w:rFonts w:ascii="Times New Roman" w:hAnsi="Times New Roman" w:cs="Times New Roman"/>
                <w:sz w:val="20"/>
              </w:rPr>
            </w:pPr>
            <w:r>
              <w:rPr>
                <w:rFonts w:cs="Times New Roman" w:ascii="Times New Roman" w:hAnsi="Times New Roman"/>
                <w:sz w:val="20"/>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8.  Loses incurred in the Trenton plant from commitment date to closing date.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0"/>
              </w:rPr>
            </w:pPr>
            <w:r>
              <w:rPr>
                <w:rFonts w:cs="Times New Roman" w:ascii="Times New Roman" w:hAnsi="Times New Roman"/>
                <w:sz w:val="20"/>
              </w:rPr>
              <w:t>These loses would be subject to accrual as long as they are incurred in meeting prior contractual requirements that would require a cost of cancellation.  If the plant were operating at a loss due to a higher application of fixed costs per unit, these increases in these costs would be viewed as incremental and charged against the restructuring.</w:t>
            </w:r>
          </w:p>
        </w:tc>
      </w:tr>
    </w:tbl>
    <w:p>
      <w:pPr>
        <w:pStyle w:val="Normal"/>
        <w:rPr>
          <w:rFonts w:ascii="Times New Roman" w:hAnsi="Times New Roman" w:cs="Times New Roman"/>
          <w:sz w:val="20"/>
        </w:rPr>
      </w:pPr>
      <w:r>
        <w:rPr>
          <w:rFonts w:cs="Times New Roman" w:ascii="Times New Roman" w:hAnsi="Times New Roman"/>
          <w:sz w:val="20"/>
        </w:rPr>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ind w:hanging="2160" w:start="216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rFonts w:ascii="Times New Roman" w:hAnsi="Times New Roman" w:cs="Times New Roman"/>
          <w:b/>
          <w:bCs/>
          <w:sz w:val="20"/>
        </w:rPr>
      </w:pPr>
      <w:r>
        <w:rPr>
          <w:rFonts w:cs="Times New Roman" w:ascii="Times New Roman" w:hAnsi="Times New Roman"/>
          <w:b/>
          <w:bCs/>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bCs/>
      <w:sz w:val="20"/>
    </w:rPr>
  </w:style>
  <w:style w:type="paragraph" w:styleId="Heading2">
    <w:name w:val="heading 2"/>
    <w:basedOn w:val="Normal"/>
    <w:next w:val="Normal"/>
    <w:qFormat/>
    <w:pPr>
      <w:keepNext w:val="true"/>
      <w:numPr>
        <w:ilvl w:val="1"/>
        <w:numId w:val="1"/>
      </w:numPr>
      <w:spacing w:before="240" w:after="60"/>
      <w:outlineLvl w:val="1"/>
    </w:pPr>
    <w:rPr>
      <w:b/>
      <w:i/>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rFonts w:ascii="Times New Roman" w:hAnsi="Times New Roman" w:cs="Times New Roman"/>
      <w:i/>
      <w:iCs/>
      <w:sz w:val="20"/>
    </w:rPr>
  </w:style>
  <w:style w:type="paragraph" w:styleId="BodyTextIndent2">
    <w:name w:val="Body Text Indent 2"/>
    <w:basedOn w:val="Normal"/>
    <w:qFormat/>
    <w:pPr>
      <w:ind w:hanging="1080" w:start="1080" w:end="0"/>
    </w:pPr>
    <w:rPr>
      <w:rFonts w:ascii="Times New Roman" w:hAnsi="Times New Roman" w:cs="Times New Roman"/>
      <w:i/>
      <w:iCs/>
      <w:sz w:val="20"/>
    </w:rPr>
  </w:style>
  <w:style w:type="paragraph" w:styleId="BodyTextIndent3">
    <w:name w:val="Body Text Indent 3"/>
    <w:basedOn w:val="Normal"/>
    <w:qFormat/>
    <w:pPr>
      <w:ind w:firstLine="360" w:start="0" w:end="0"/>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2000-11-20T22:30:00Z</dcterms:created>
  <dc:creator>Kimberly Kupiecki</dc:creator>
  <dc:description/>
  <dc:language>en-CA</dc:language>
  <cp:lastModifiedBy>jdasovic</cp:lastModifiedBy>
  <dcterms:modified xsi:type="dcterms:W3CDTF">2000-11-27T00:13:00Z</dcterms:modified>
  <cp:revision>50</cp:revision>
  <dc:subject/>
  <dc:title>Case 26-1, Global Industries, AG</dc:title>
</cp:coreProperties>
</file>