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9270" w:type="dxa"/>
        <w:jc w:val="start"/>
        <w:tblInd w:w="18" w:type="dxa"/>
        <w:tblLayout w:type="fixed"/>
        <w:tblCellMar>
          <w:top w:w="0" w:type="dxa"/>
          <w:start w:w="108" w:type="dxa"/>
          <w:bottom w:w="0" w:type="dxa"/>
          <w:end w:w="108" w:type="dxa"/>
        </w:tblCellMar>
      </w:tblPr>
      <w:tblGrid>
        <w:gridCol w:w="6120"/>
        <w:gridCol w:w="3150"/>
      </w:tblGrid>
      <w:tr>
        <w:trPr>
          <w:trHeight w:val="1260" w:hRule="atLeast"/>
        </w:trPr>
        <w:tc>
          <w:tcPr>
            <w:tcW w:w="6120" w:type="dxa"/>
            <w:tcBorders/>
          </w:tcPr>
          <w:p>
            <w:pPr>
              <w:pStyle w:val="Header"/>
              <w:tabs>
                <w:tab w:val="clear" w:pos="4320"/>
                <w:tab w:val="clear" w:pos="8640"/>
              </w:tabs>
              <w:rPr>
                <w:sz w:val="18"/>
              </w:rPr>
            </w:pPr>
            <w:r>
              <w:rPr/>
              <w:drawing>
                <wp:inline distT="0" distB="0" distL="0" distR="0">
                  <wp:extent cx="649605" cy="6794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9" t="-31" r="-29" b="-31"/>
                          <a:stretch>
                            <a:fillRect/>
                          </a:stretch>
                        </pic:blipFill>
                        <pic:spPr bwMode="auto">
                          <a:xfrm>
                            <a:off x="0" y="0"/>
                            <a:ext cx="649605" cy="679450"/>
                          </a:xfrm>
                          <a:prstGeom prst="rect">
                            <a:avLst/>
                          </a:prstGeom>
                          <a:noFill/>
                        </pic:spPr>
                      </pic:pic>
                    </a:graphicData>
                  </a:graphic>
                </wp:inline>
              </w:drawing>
            </w:r>
          </w:p>
        </w:tc>
        <w:tc>
          <w:tcPr>
            <w:tcW w:w="3150" w:type="dxa"/>
            <w:tcBorders/>
          </w:tcPr>
          <w:p>
            <w:pPr>
              <w:pStyle w:val="Heading1"/>
              <w:ind w:hanging="0" w:start="0"/>
              <w:rPr>
                <w:b/>
                <w:sz w:val="22"/>
              </w:rPr>
            </w:pPr>
            <w:r>
              <w:rPr>
                <w:b/>
                <w:sz w:val="22"/>
              </w:rPr>
              <w:t>Enron América do Sul Ltda.</w:t>
            </w:r>
          </w:p>
          <w:p>
            <w:pPr>
              <w:pStyle w:val="Normal"/>
              <w:rPr>
                <w:b w:val="false"/>
                <w:sz w:val="18"/>
              </w:rPr>
            </w:pPr>
            <w:r>
              <w:rPr>
                <w:b w:val="false"/>
                <w:sz w:val="18"/>
              </w:rPr>
              <w:t>Av.  das Nações Unidas, 11.541</w:t>
            </w:r>
          </w:p>
          <w:p>
            <w:pPr>
              <w:pStyle w:val="Normal"/>
              <w:rPr>
                <w:b w:val="false"/>
                <w:sz w:val="18"/>
              </w:rPr>
            </w:pPr>
            <w:r>
              <w:rPr>
                <w:b w:val="false"/>
                <w:sz w:val="18"/>
              </w:rPr>
              <w:t>6º andar – 04578-000</w:t>
            </w:r>
          </w:p>
          <w:p>
            <w:pPr>
              <w:pStyle w:val="Normal"/>
              <w:rPr>
                <w:b w:val="false"/>
                <w:sz w:val="18"/>
              </w:rPr>
            </w:pPr>
            <w:r>
              <w:rPr>
                <w:b w:val="false"/>
                <w:sz w:val="18"/>
              </w:rPr>
              <w:t>São Paulo – SP – Brasil</w:t>
            </w:r>
          </w:p>
          <w:p>
            <w:pPr>
              <w:pStyle w:val="Normal"/>
              <w:rPr>
                <w:b w:val="false"/>
                <w:sz w:val="18"/>
              </w:rPr>
            </w:pPr>
            <w:r>
              <w:rPr>
                <w:b w:val="false"/>
                <w:sz w:val="18"/>
              </w:rPr>
              <w:t>Tel. 5511 5503-1399</w:t>
            </w:r>
          </w:p>
          <w:p>
            <w:pPr>
              <w:pStyle w:val="Normal"/>
              <w:rPr>
                <w:sz w:val="18"/>
              </w:rPr>
            </w:pPr>
            <w:r>
              <w:rPr>
                <w:b w:val="false"/>
                <w:sz w:val="18"/>
              </w:rPr>
              <w:t>Fax. 5511 5503-1270</w:t>
            </w:r>
          </w:p>
        </w:tc>
      </w:tr>
    </w:tbl>
    <w:p>
      <w:pPr>
        <w:pStyle w:val="Normal"/>
        <w:rPr>
          <w:b w:val="false"/>
          <w:sz w:val="24"/>
        </w:rPr>
      </w:pPr>
      <w:r>
        <w:rPr>
          <w:b w:val="false"/>
          <w:sz w:val="24"/>
        </w:rPr>
      </w:r>
    </w:p>
    <w:p>
      <w:pPr>
        <w:pStyle w:val="Normal"/>
        <w:rPr>
          <w:b w:val="false"/>
          <w:sz w:val="24"/>
        </w:rPr>
      </w:pPr>
      <w:r>
        <w:rPr>
          <w:b w:val="false"/>
          <w:sz w:val="24"/>
        </w:rPr>
      </w:r>
    </w:p>
    <w:p>
      <w:pPr>
        <w:pStyle w:val="Normal"/>
        <w:rPr>
          <w:b w:val="false"/>
          <w:sz w:val="24"/>
        </w:rPr>
      </w:pPr>
      <w:r>
        <w:rPr>
          <w:b w:val="false"/>
          <w:sz w:val="24"/>
        </w:rPr>
      </w:r>
    </w:p>
    <w:p>
      <w:pPr>
        <w:pStyle w:val="Normal"/>
        <w:rPr>
          <w:b w:val="false"/>
          <w:sz w:val="24"/>
        </w:rPr>
      </w:pPr>
      <w:r>
        <w:rPr>
          <w:b w:val="false"/>
          <w:sz w:val="24"/>
        </w:rPr>
      </w:r>
    </w:p>
    <w:p>
      <w:pPr>
        <w:pStyle w:val="Normal"/>
        <w:rPr>
          <w:b w:val="false"/>
          <w:sz w:val="24"/>
        </w:rPr>
      </w:pPr>
      <w:r>
        <w:rPr>
          <w:b w:val="false"/>
          <w:sz w:val="24"/>
        </w:rPr>
        <w:t>São Paulo, 29 de maio de 2001.</w:t>
      </w:r>
    </w:p>
    <w:p>
      <w:pPr>
        <w:pStyle w:val="Normal"/>
        <w:rPr>
          <w:b w:val="false"/>
          <w:sz w:val="24"/>
        </w:rPr>
      </w:pPr>
      <w:r>
        <w:rPr>
          <w:b w:val="false"/>
          <w:sz w:val="24"/>
        </w:rPr>
      </w:r>
    </w:p>
    <w:p>
      <w:pPr>
        <w:pStyle w:val="Normal"/>
        <w:rPr>
          <w:b w:val="false"/>
          <w:sz w:val="24"/>
        </w:rPr>
      </w:pPr>
      <w:r>
        <w:rPr>
          <w:b w:val="false"/>
          <w:sz w:val="24"/>
        </w:rPr>
      </w:r>
    </w:p>
    <w:p>
      <w:pPr>
        <w:pStyle w:val="Normal"/>
        <w:rPr>
          <w:b w:val="false"/>
          <w:sz w:val="24"/>
        </w:rPr>
      </w:pPr>
      <w:r>
        <w:rPr>
          <w:b w:val="false"/>
          <w:sz w:val="24"/>
        </w:rPr>
      </w:r>
    </w:p>
    <w:p>
      <w:pPr>
        <w:pStyle w:val="Normal"/>
        <w:rPr>
          <w:b w:val="false"/>
          <w:sz w:val="24"/>
        </w:rPr>
      </w:pPr>
      <w:r>
        <w:rPr>
          <w:b w:val="false"/>
          <w:sz w:val="24"/>
        </w:rPr>
        <w:t>Excelentíssimo Senhor Pedro Parente</w:t>
      </w:r>
    </w:p>
    <w:p>
      <w:pPr>
        <w:pStyle w:val="Normal"/>
        <w:rPr>
          <w:b w:val="false"/>
          <w:sz w:val="24"/>
        </w:rPr>
      </w:pPr>
      <w:r>
        <w:rPr>
          <w:b w:val="false"/>
          <w:sz w:val="24"/>
        </w:rPr>
        <w:t>Ministro Chefe da Casa Civil de Estado</w:t>
      </w:r>
    </w:p>
    <w:p>
      <w:pPr>
        <w:pStyle w:val="Normal"/>
        <w:rPr>
          <w:b w:val="false"/>
          <w:sz w:val="24"/>
        </w:rPr>
      </w:pPr>
      <w:r>
        <w:rPr>
          <w:b w:val="false"/>
          <w:sz w:val="24"/>
        </w:rPr>
        <w:t>Palácio do Planalto</w:t>
      </w:r>
    </w:p>
    <w:p>
      <w:pPr>
        <w:pStyle w:val="Normal"/>
        <w:rPr>
          <w:b w:val="false"/>
          <w:sz w:val="24"/>
        </w:rPr>
      </w:pPr>
      <w:r>
        <w:rPr>
          <w:b w:val="false"/>
          <w:sz w:val="24"/>
        </w:rPr>
        <w:t>Brasília - DF</w:t>
      </w:r>
    </w:p>
    <w:p>
      <w:pPr>
        <w:pStyle w:val="Normal"/>
        <w:rPr>
          <w:b w:val="false"/>
          <w:sz w:val="24"/>
        </w:rPr>
      </w:pPr>
      <w:r>
        <w:rPr>
          <w:b w:val="false"/>
          <w:sz w:val="24"/>
        </w:rPr>
      </w:r>
    </w:p>
    <w:p>
      <w:pPr>
        <w:pStyle w:val="Normal"/>
        <w:rPr>
          <w:b w:val="false"/>
          <w:sz w:val="24"/>
        </w:rPr>
      </w:pPr>
      <w:r>
        <w:rPr>
          <w:b w:val="false"/>
          <w:sz w:val="24"/>
        </w:rPr>
      </w:r>
    </w:p>
    <w:p>
      <w:pPr>
        <w:pStyle w:val="Normal"/>
        <w:rPr>
          <w:b w:val="false"/>
          <w:sz w:val="24"/>
        </w:rPr>
      </w:pPr>
      <w:r>
        <w:rPr>
          <w:b w:val="false"/>
          <w:sz w:val="24"/>
        </w:rPr>
      </w:r>
    </w:p>
    <w:p>
      <w:pPr>
        <w:pStyle w:val="Normal"/>
        <w:rPr>
          <w:b w:val="false"/>
          <w:sz w:val="24"/>
        </w:rPr>
      </w:pPr>
      <w:r>
        <w:rPr>
          <w:b w:val="false"/>
          <w:sz w:val="24"/>
        </w:rPr>
        <w:t>Excelentíssimo Senhor Ministro:</w:t>
      </w:r>
    </w:p>
    <w:p>
      <w:pPr>
        <w:pStyle w:val="Normal"/>
        <w:rPr>
          <w:b w:val="false"/>
          <w:sz w:val="24"/>
        </w:rPr>
      </w:pPr>
      <w:r>
        <w:rPr>
          <w:b w:val="false"/>
          <w:sz w:val="24"/>
        </w:rPr>
      </w:r>
    </w:p>
    <w:p>
      <w:pPr>
        <w:pStyle w:val="Normal"/>
        <w:rPr>
          <w:b w:val="false"/>
          <w:sz w:val="24"/>
        </w:rPr>
      </w:pPr>
      <w:r>
        <w:rPr>
          <w:b w:val="false"/>
          <w:sz w:val="24"/>
        </w:rPr>
      </w:r>
    </w:p>
    <w:p>
      <w:pPr>
        <w:pStyle w:val="Normal"/>
        <w:jc w:val="both"/>
        <w:rPr>
          <w:b w:val="false"/>
          <w:sz w:val="24"/>
        </w:rPr>
      </w:pPr>
      <w:r>
        <w:rPr>
          <w:b w:val="false"/>
          <w:sz w:val="24"/>
        </w:rPr>
        <w:t xml:space="preserve">Estamos encaminhando a V.Ex.a. algumas sugestões no sentido de estabelecer condições adequadas para propiciar o aumento da oferta de energia elétrica a curto e médio prazo, mitigando assim o impacto da crise atual que o Brasil atravessa. </w:t>
      </w:r>
    </w:p>
    <w:p>
      <w:pPr>
        <w:pStyle w:val="Normal"/>
        <w:jc w:val="both"/>
        <w:rPr>
          <w:b w:val="false"/>
          <w:sz w:val="24"/>
        </w:rPr>
      </w:pPr>
      <w:r>
        <w:rPr>
          <w:b w:val="false"/>
          <w:sz w:val="24"/>
        </w:rPr>
      </w:r>
    </w:p>
    <w:p>
      <w:pPr>
        <w:pStyle w:val="Normal"/>
        <w:jc w:val="both"/>
        <w:rPr>
          <w:b w:val="false"/>
          <w:sz w:val="24"/>
        </w:rPr>
      </w:pPr>
      <w:r>
        <w:rPr>
          <w:b w:val="false"/>
          <w:sz w:val="24"/>
        </w:rPr>
        <w:t>Nossas sugestões focalizam na implementação exitosa de um mercado de energia, que possa servir como um facilitador para atração de novos investimentos bem como para racionalização do consumo. As proposições aqui colocadas não esgotam o assunto “expansão”, mas examinam o assunto sob um ponto de vista novo, frequentemente negligenciado nas discussões sobre a matéria.</w:t>
      </w:r>
    </w:p>
    <w:p>
      <w:pPr>
        <w:pStyle w:val="Normal"/>
        <w:jc w:val="both"/>
        <w:rPr>
          <w:b w:val="false"/>
          <w:sz w:val="24"/>
        </w:rPr>
      </w:pPr>
      <w:r>
        <w:rPr>
          <w:b w:val="false"/>
          <w:sz w:val="24"/>
        </w:rPr>
      </w:r>
    </w:p>
    <w:p>
      <w:pPr>
        <w:pStyle w:val="Normal"/>
        <w:jc w:val="both"/>
        <w:rPr>
          <w:b w:val="false"/>
          <w:sz w:val="24"/>
        </w:rPr>
      </w:pPr>
      <w:r>
        <w:rPr>
          <w:b w:val="false"/>
          <w:sz w:val="24"/>
        </w:rPr>
        <w:t>Em relação ao tema implementação de mercado, preocupam-nos sobremaneira algumas idéias que vem sendo discutidas no sentido de alterar condições contratuais bem como fixar caps de no preço spot. Da mesma forma, faz parte do rol de nossas preocupações, o fato de que o Mercado Atacadista de Energia (MAE) está praticamente paralisado, necessitando de ações enérgicas para seu adequado e pronto funcionamento.</w:t>
      </w:r>
    </w:p>
    <w:p>
      <w:pPr>
        <w:pStyle w:val="Normal"/>
        <w:jc w:val="both"/>
        <w:rPr>
          <w:b w:val="false"/>
          <w:sz w:val="24"/>
        </w:rPr>
      </w:pPr>
      <w:r>
        <w:rPr>
          <w:b w:val="false"/>
          <w:sz w:val="24"/>
        </w:rPr>
      </w:r>
    </w:p>
    <w:p>
      <w:pPr>
        <w:pStyle w:val="Normal"/>
        <w:jc w:val="both"/>
        <w:rPr>
          <w:b w:val="false"/>
          <w:sz w:val="24"/>
        </w:rPr>
      </w:pPr>
      <w:r>
        <w:rPr>
          <w:b w:val="false"/>
          <w:sz w:val="24"/>
        </w:rPr>
        <w:t xml:space="preserve">Quanto às mudanças nos contratos de suprimento sendo propostas, particularmente no Anexo V,  gostaríamos de expressar nosso total repúdio por qualquer alteração que viole o espírito dos contratos e a forma de alocação de risco neles implícita. Isto porque o contrato é uma pedra basilar do novo modelo do setor elétrico, seja como um vetor que propicie a expansão da capacidade, seja como um instrumento financeiro que mitigue a elevada volatilidade no preço spot. Alterar o Anexo V sob a alegação de estarmos sob situação de racionamento fere frontalmente o espírito do contrato: foi justamente para lidar com estas situação que tal Anexo foi preparado e inserido nos Conratos Iniciais, por insistência dos geradores. Ademais, este risco foi “precificado” quando da privatização das empresas geradoras e distribuidoras. Alterar contratos implica em maior percepção de risco regulatório e transmite uma mensagem de contratação irresponsável para o futuro:  agentes nunca se contratarão adequadamente para mitigar seu risco à espera de um “bote salva-vidas” quando o risco se materializar em prejuízos. </w:t>
      </w:r>
    </w:p>
    <w:p>
      <w:pPr>
        <w:pStyle w:val="Normal"/>
        <w:jc w:val="both"/>
        <w:rPr>
          <w:b w:val="false"/>
          <w:sz w:val="24"/>
        </w:rPr>
      </w:pPr>
      <w:r>
        <w:rPr>
          <w:b w:val="false"/>
          <w:sz w:val="24"/>
        </w:rPr>
      </w:r>
    </w:p>
    <w:p>
      <w:pPr>
        <w:pStyle w:val="Normal"/>
        <w:jc w:val="both"/>
        <w:rPr>
          <w:b w:val="false"/>
          <w:sz w:val="24"/>
        </w:rPr>
      </w:pPr>
      <w:r>
        <w:rPr>
          <w:b w:val="false"/>
          <w:sz w:val="24"/>
        </w:rPr>
        <w:t>Analogamente, repudiamos qualquer ação no sentido de fixar um preço “cap” no MAE que não tenha como base o atual custo de deficit e as regras atuais homologadas pela ANEEL. Isto seria uma clara violação das regras e que, repetimos, levaria a uma contratação irresponsável. Alterar no preço significa, na prática, “perdoar” aos agentes com posição devedora no mercado, extraindo recursos daqueles que contrataram responsavelmente, contribuindo para a expansão de capacidade. Teria ainda como efeito desestimular investimentos em geração bem como desincentivar consumidores a racionalizar o uso da energia. Seria uma atenuação perigosa do sinal de preço.</w:t>
      </w:r>
    </w:p>
    <w:p>
      <w:pPr>
        <w:pStyle w:val="Normal"/>
        <w:jc w:val="both"/>
        <w:rPr>
          <w:b w:val="false"/>
          <w:sz w:val="24"/>
        </w:rPr>
      </w:pPr>
      <w:r>
        <w:rPr>
          <w:b w:val="false"/>
          <w:sz w:val="24"/>
        </w:rPr>
      </w:r>
    </w:p>
    <w:p>
      <w:pPr>
        <w:pStyle w:val="Normal"/>
        <w:jc w:val="both"/>
        <w:rPr>
          <w:b w:val="false"/>
          <w:sz w:val="24"/>
        </w:rPr>
      </w:pPr>
      <w:r>
        <w:rPr>
          <w:b w:val="false"/>
          <w:sz w:val="24"/>
        </w:rPr>
        <w:t xml:space="preserve">Finalmente, ressaltamos a necessidade urgente de que a Câmara de Gestão da Crise envide seus melhores esforços para a retomada dos trabalhos de implementação do MAE. Entendemos que a assim chamada “intervenção” da ANEEL no MAE foi necessária, mas necessida de uma solidez jurídica maior, o que pode ser conseguido pela feitura de um novo Acordo de Mercado. Ademais, é necessário um trabalho intenso para a definição da nova governança, estrutura e processos gerenciais chave. Acreditamos que a Câmara dispõe da força institucional e do ímpeto para propulsionar de vez a implementação do mercado atacadista, tão necessário neste momento.  </w:t>
      </w:r>
    </w:p>
    <w:p>
      <w:pPr>
        <w:pStyle w:val="Normal"/>
        <w:jc w:val="both"/>
        <w:rPr>
          <w:b w:val="false"/>
          <w:sz w:val="24"/>
        </w:rPr>
      </w:pPr>
      <w:r>
        <w:rPr>
          <w:b w:val="false"/>
          <w:sz w:val="24"/>
        </w:rPr>
      </w:r>
    </w:p>
    <w:p>
      <w:pPr>
        <w:pStyle w:val="Normal"/>
        <w:jc w:val="both"/>
        <w:rPr>
          <w:b w:val="false"/>
          <w:sz w:val="24"/>
        </w:rPr>
      </w:pPr>
      <w:r>
        <w:rPr>
          <w:b w:val="false"/>
          <w:sz w:val="24"/>
        </w:rPr>
        <w:t>Estamos encaminhando em Apêndice a esta carta diversos documentos que suportam nossas idéias aqui colocadas e fornecem mais detalhes. Por facilidade expositiva, este Apêndice está organizado nas seguintes sessões:</w:t>
      </w:r>
    </w:p>
    <w:p>
      <w:pPr>
        <w:pStyle w:val="Normal"/>
        <w:jc w:val="both"/>
        <w:rPr>
          <w:b w:val="false"/>
          <w:sz w:val="24"/>
        </w:rPr>
      </w:pPr>
      <w:r>
        <w:rPr>
          <w:b w:val="false"/>
          <w:sz w:val="24"/>
        </w:rPr>
      </w:r>
    </w:p>
    <w:p>
      <w:pPr>
        <w:pStyle w:val="Normal"/>
        <w:numPr>
          <w:ilvl w:val="0"/>
          <w:numId w:val="2"/>
        </w:numPr>
        <w:tabs>
          <w:tab w:val="clear" w:pos="720"/>
          <w:tab w:val="left" w:pos="1080" w:leader="none"/>
        </w:tabs>
        <w:ind w:hanging="360" w:start="1080" w:end="0"/>
        <w:jc w:val="both"/>
        <w:rPr>
          <w:b w:val="false"/>
          <w:sz w:val="24"/>
        </w:rPr>
      </w:pPr>
      <w:r>
        <w:rPr>
          <w:b w:val="false"/>
          <w:sz w:val="24"/>
        </w:rPr>
        <w:t>A “santidade” dos contratos, em especial do Anexo V</w:t>
      </w:r>
    </w:p>
    <w:p>
      <w:pPr>
        <w:pStyle w:val="Normal"/>
        <w:numPr>
          <w:ilvl w:val="0"/>
          <w:numId w:val="2"/>
        </w:numPr>
        <w:tabs>
          <w:tab w:val="clear" w:pos="720"/>
        </w:tabs>
        <w:ind w:hanging="360" w:start="1080" w:end="0"/>
        <w:jc w:val="both"/>
        <w:rPr>
          <w:b w:val="false"/>
          <w:sz w:val="24"/>
        </w:rPr>
      </w:pPr>
      <w:r>
        <w:rPr>
          <w:b w:val="false"/>
          <w:sz w:val="24"/>
        </w:rPr>
        <w:t>Fixação de “caps” no preço spot do Mercado Atacadista de Energia</w:t>
      </w:r>
    </w:p>
    <w:p>
      <w:pPr>
        <w:pStyle w:val="Normal"/>
        <w:numPr>
          <w:ilvl w:val="0"/>
          <w:numId w:val="2"/>
        </w:numPr>
        <w:tabs>
          <w:tab w:val="clear" w:pos="720"/>
        </w:tabs>
        <w:ind w:hanging="360" w:start="1080" w:end="0"/>
        <w:jc w:val="both"/>
        <w:rPr>
          <w:b w:val="false"/>
          <w:sz w:val="24"/>
        </w:rPr>
      </w:pPr>
      <w:r>
        <w:rPr>
          <w:b w:val="false"/>
          <w:sz w:val="24"/>
        </w:rPr>
        <w:t>Funcionamento do Mercado Atacadista de Energia</w:t>
      </w:r>
    </w:p>
    <w:p>
      <w:pPr>
        <w:pStyle w:val="Normal"/>
        <w:numPr>
          <w:ilvl w:val="0"/>
          <w:numId w:val="2"/>
        </w:numPr>
        <w:tabs>
          <w:tab w:val="clear" w:pos="720"/>
        </w:tabs>
        <w:ind w:hanging="360" w:start="1080" w:end="0"/>
        <w:jc w:val="both"/>
        <w:rPr>
          <w:b w:val="false"/>
          <w:sz w:val="24"/>
        </w:rPr>
      </w:pPr>
      <w:r>
        <w:rPr>
          <w:b w:val="false"/>
          <w:sz w:val="24"/>
        </w:rPr>
        <w:t>Posicionamento da Enron em relação às Resoluções da ANEEL 160/161/162</w:t>
      </w:r>
    </w:p>
    <w:p>
      <w:pPr>
        <w:pStyle w:val="Normal"/>
        <w:numPr>
          <w:ilvl w:val="0"/>
          <w:numId w:val="2"/>
        </w:numPr>
        <w:tabs>
          <w:tab w:val="clear" w:pos="720"/>
        </w:tabs>
        <w:ind w:hanging="360" w:start="1080" w:end="0"/>
        <w:jc w:val="both"/>
        <w:rPr>
          <w:b w:val="false"/>
          <w:sz w:val="24"/>
        </w:rPr>
      </w:pPr>
      <w:r>
        <w:rPr>
          <w:b w:val="false"/>
          <w:sz w:val="24"/>
        </w:rPr>
        <w:t>Posicionamento da Enron em relação à governança do MAE – Informativo Regulatório Número 3.</w:t>
      </w:r>
    </w:p>
    <w:p>
      <w:pPr>
        <w:pStyle w:val="Normal"/>
        <w:jc w:val="both"/>
        <w:rPr>
          <w:b w:val="false"/>
          <w:sz w:val="24"/>
        </w:rPr>
      </w:pPr>
      <w:r>
        <w:rPr>
          <w:b w:val="false"/>
          <w:sz w:val="24"/>
        </w:rPr>
      </w:r>
    </w:p>
    <w:p>
      <w:pPr>
        <w:pStyle w:val="Normal"/>
        <w:jc w:val="both"/>
        <w:rPr>
          <w:b w:val="false"/>
          <w:sz w:val="24"/>
        </w:rPr>
      </w:pPr>
      <w:r>
        <w:rPr>
          <w:b w:val="false"/>
          <w:sz w:val="24"/>
        </w:rPr>
        <w:t xml:space="preserve">Colocando-nos desde já à disposição para esclarecimentos que sejam necessários, subscrevemos, </w:t>
      </w:r>
    </w:p>
    <w:p>
      <w:pPr>
        <w:pStyle w:val="Normal"/>
        <w:jc w:val="both"/>
        <w:rPr>
          <w:b w:val="false"/>
          <w:sz w:val="24"/>
        </w:rPr>
      </w:pPr>
      <w:r>
        <w:rPr>
          <w:b w:val="false"/>
          <w:sz w:val="24"/>
        </w:rPr>
      </w:r>
    </w:p>
    <w:p>
      <w:pPr>
        <w:pStyle w:val="Normal"/>
        <w:jc w:val="both"/>
        <w:rPr>
          <w:b w:val="false"/>
          <w:sz w:val="24"/>
        </w:rPr>
      </w:pPr>
      <w:r>
        <w:rPr>
          <w:b w:val="false"/>
          <w:sz w:val="24"/>
        </w:rPr>
      </w:r>
    </w:p>
    <w:p>
      <w:pPr>
        <w:pStyle w:val="Normal"/>
        <w:jc w:val="both"/>
        <w:rPr>
          <w:b w:val="false"/>
          <w:sz w:val="24"/>
        </w:rPr>
      </w:pPr>
      <w:r>
        <w:rPr>
          <w:b w:val="false"/>
          <w:sz w:val="24"/>
        </w:rPr>
        <w:tab/>
        <w:tab/>
        <w:tab/>
        <w:tab/>
        <w:tab/>
        <w:tab/>
        <w:tab/>
        <w:tab/>
        <w:t>Atenciosamente</w:t>
      </w:r>
    </w:p>
    <w:p>
      <w:pPr>
        <w:pStyle w:val="Normal"/>
        <w:jc w:val="both"/>
        <w:rPr>
          <w:b w:val="false"/>
          <w:sz w:val="24"/>
        </w:rPr>
      </w:pPr>
      <w:r>
        <w:rPr>
          <w:b w:val="false"/>
          <w:sz w:val="24"/>
        </w:rPr>
      </w:r>
    </w:p>
    <w:p>
      <w:pPr>
        <w:pStyle w:val="Normal"/>
        <w:jc w:val="both"/>
        <w:rPr>
          <w:b w:val="false"/>
          <w:sz w:val="24"/>
        </w:rPr>
      </w:pPr>
      <w:r>
        <w:rPr>
          <w:b w:val="false"/>
          <w:sz w:val="24"/>
        </w:rPr>
      </w:r>
    </w:p>
    <w:p>
      <w:pPr>
        <w:pStyle w:val="Normal"/>
        <w:jc w:val="both"/>
        <w:rPr>
          <w:b w:val="false"/>
          <w:sz w:val="24"/>
        </w:rPr>
      </w:pPr>
      <w:r>
        <w:rPr>
          <w:b w:val="false"/>
          <w:sz w:val="24"/>
        </w:rPr>
        <w:tab/>
        <w:tab/>
        <w:tab/>
        <w:tab/>
        <w:tab/>
        <w:tab/>
        <w:tab/>
        <w:tab/>
        <w:t>Orlando Gonzalez</w:t>
      </w:r>
    </w:p>
    <w:p>
      <w:pPr>
        <w:pStyle w:val="Normal"/>
        <w:jc w:val="both"/>
        <w:rPr>
          <w:b w:val="false"/>
          <w:sz w:val="24"/>
        </w:rPr>
      </w:pPr>
      <w:r>
        <w:rPr>
          <w:b w:val="false"/>
          <w:sz w:val="24"/>
        </w:rPr>
        <w:tab/>
        <w:tab/>
        <w:tab/>
        <w:tab/>
        <w:tab/>
        <w:tab/>
        <w:tab/>
        <w:tab/>
        <w:t>Co-Presidente</w:t>
      </w:r>
    </w:p>
    <w:p>
      <w:pPr>
        <w:pStyle w:val="Normal"/>
        <w:jc w:val="both"/>
        <w:rPr>
          <w:b w:val="false"/>
          <w:sz w:val="24"/>
        </w:rPr>
      </w:pPr>
      <w:r>
        <w:rPr>
          <w:b w:val="false"/>
          <w:sz w:val="24"/>
        </w:rPr>
      </w:r>
    </w:p>
    <w:p>
      <w:pPr>
        <w:pStyle w:val="Normal"/>
        <w:jc w:val="both"/>
        <w:rPr>
          <w:b w:val="false"/>
          <w:sz w:val="24"/>
        </w:rPr>
      </w:pPr>
      <w:r>
        <w:rPr>
          <w:b w:val="false"/>
          <w:sz w:val="24"/>
        </w:rPr>
      </w:r>
    </w:p>
    <w:p>
      <w:pPr>
        <w:pStyle w:val="Normal"/>
        <w:jc w:val="both"/>
        <w:rPr>
          <w:b w:val="false"/>
          <w:sz w:val="24"/>
        </w:rPr>
      </w:pPr>
      <w:r>
        <w:rPr>
          <w:b w:val="false"/>
          <w:sz w:val="24"/>
        </w:rPr>
      </w:r>
      <w:r>
        <w:br w:type="page"/>
      </w:r>
    </w:p>
    <w:p>
      <w:pPr>
        <w:pStyle w:val="Normal"/>
        <w:jc w:val="both"/>
        <w:rPr>
          <w:b w:val="false"/>
          <w:sz w:val="24"/>
        </w:rPr>
      </w:pPr>
      <w:r>
        <w:rPr>
          <w:b w:val="false"/>
          <w:sz w:val="24"/>
        </w:rPr>
      </w:r>
    </w:p>
    <w:p>
      <w:pPr>
        <w:pStyle w:val="Normal"/>
        <w:jc w:val="both"/>
        <w:rPr>
          <w:b w:val="false"/>
          <w:sz w:val="24"/>
        </w:rPr>
      </w:pPr>
      <w:r>
        <w:rPr>
          <w:b w:val="false"/>
          <w:sz w:val="24"/>
        </w:rPr>
      </w:r>
    </w:p>
    <w:p>
      <w:pPr>
        <w:pStyle w:val="Normal"/>
        <w:ind w:start="2880" w:end="0"/>
        <w:jc w:val="both"/>
        <w:rPr>
          <w:b w:val="false"/>
          <w:sz w:val="24"/>
        </w:rPr>
      </w:pPr>
      <w:r>
        <w:rPr>
          <w:b w:val="false"/>
          <w:sz w:val="24"/>
        </w:rPr>
        <w:t>APÊNDICE</w:t>
      </w:r>
    </w:p>
    <w:p>
      <w:pPr>
        <w:pStyle w:val="Normal"/>
        <w:jc w:val="both"/>
        <w:rPr>
          <w:b w:val="false"/>
          <w:sz w:val="24"/>
        </w:rPr>
      </w:pPr>
      <w:r>
        <w:rPr>
          <w:b w:val="false"/>
          <w:sz w:val="24"/>
        </w:rPr>
      </w:r>
    </w:p>
    <w:p>
      <w:pPr>
        <w:pStyle w:val="Normal"/>
        <w:jc w:val="both"/>
        <w:rPr>
          <w:b w:val="false"/>
          <w:sz w:val="24"/>
          <w:u w:val="single"/>
        </w:rPr>
      </w:pPr>
      <w:r>
        <w:rPr>
          <w:b w:val="false"/>
          <w:sz w:val="24"/>
          <w:u w:val="single"/>
        </w:rPr>
        <w:t>1) A “santidade” dos contratos, em especial do Anexo V</w:t>
      </w:r>
    </w:p>
    <w:p>
      <w:pPr>
        <w:pStyle w:val="Normal"/>
        <w:jc w:val="both"/>
        <w:rPr>
          <w:b w:val="false"/>
          <w:sz w:val="24"/>
          <w:u w:val="single"/>
        </w:rPr>
      </w:pPr>
      <w:r>
        <w:rPr>
          <w:b w:val="false"/>
          <w:sz w:val="24"/>
          <w:u w:val="single"/>
        </w:rPr>
      </w:r>
    </w:p>
    <w:p>
      <w:pPr>
        <w:pStyle w:val="Normal"/>
        <w:jc w:val="both"/>
        <w:rPr>
          <w:b w:val="false"/>
          <w:sz w:val="24"/>
        </w:rPr>
      </w:pPr>
      <w:r>
        <w:rPr>
          <w:b w:val="false"/>
          <w:sz w:val="24"/>
        </w:rPr>
        <w:t>O contrato é uma pedra basilar do novo modelo do setor elétrico brasileiro. É o instrumento através do qual as partes alocam e estabelecem os preços dos diversos riscos, inclusive os de variabilidade do preço spot. É via o contrato de energia que repousa a desejada concorrência no setor elétrico. É o suporte para expansão do setor elétrico: o contrato precede, e em muitas vezes é condição precedente para a expansão do sistema, e o que assegura sua financiabilidade.</w:t>
      </w:r>
    </w:p>
    <w:p>
      <w:pPr>
        <w:pStyle w:val="Normal"/>
        <w:jc w:val="both"/>
        <w:rPr>
          <w:b w:val="false"/>
          <w:sz w:val="24"/>
        </w:rPr>
      </w:pPr>
      <w:r>
        <w:rPr>
          <w:b w:val="false"/>
          <w:sz w:val="24"/>
        </w:rPr>
      </w:r>
    </w:p>
    <w:p>
      <w:pPr>
        <w:pStyle w:val="Normal"/>
        <w:jc w:val="both"/>
        <w:rPr>
          <w:b w:val="false"/>
          <w:sz w:val="24"/>
        </w:rPr>
      </w:pPr>
      <w:r>
        <w:rPr>
          <w:b w:val="false"/>
          <w:sz w:val="24"/>
        </w:rPr>
        <w:t>Os Contratos Iniciais, desenhados para servir de transição entre o antigo e o novo modelo do setor elétrico são, a despeito de seu caráter “regulado”, instrumentos jurídicos tão perfeitos quanto quaisquer outros contratos livremente negociados. O Anexo V é uma parte integrante dos Contratos Iniciais e estabelece como devem ser reduzidos os volumes contratados entre geradores e distribuidores no caso de racionamento de energia.</w:t>
      </w:r>
    </w:p>
    <w:p>
      <w:pPr>
        <w:pStyle w:val="Normal"/>
        <w:jc w:val="both"/>
        <w:rPr>
          <w:b w:val="false"/>
          <w:sz w:val="24"/>
        </w:rPr>
      </w:pPr>
      <w:r>
        <w:rPr>
          <w:b w:val="false"/>
          <w:sz w:val="24"/>
        </w:rPr>
      </w:r>
    </w:p>
    <w:p>
      <w:pPr>
        <w:pStyle w:val="Normal"/>
        <w:jc w:val="both"/>
        <w:rPr>
          <w:b w:val="false"/>
          <w:sz w:val="24"/>
        </w:rPr>
      </w:pPr>
      <w:r>
        <w:rPr>
          <w:b w:val="false"/>
          <w:sz w:val="24"/>
        </w:rPr>
        <w:t xml:space="preserve">Estamos assistindo, com perplexidade, discussões no âmbito do Sub-Grupo de Mercado da CGE, sugerindo que se modifique o disposto do Anexo V, e que se busque uma nova alocação de riscos entre geradores e distribuidoras. Isto porque, alegam as empresas geradoras, os prejuízos advindos de um racionamento poderiam causar grandes desequilíbrios econômico financeiros. </w:t>
      </w:r>
    </w:p>
    <w:p>
      <w:pPr>
        <w:pStyle w:val="Normal"/>
        <w:jc w:val="both"/>
        <w:rPr>
          <w:b w:val="false"/>
          <w:sz w:val="24"/>
        </w:rPr>
      </w:pPr>
      <w:r>
        <w:rPr>
          <w:b w:val="false"/>
          <w:sz w:val="24"/>
        </w:rPr>
      </w:r>
    </w:p>
    <w:p>
      <w:pPr>
        <w:pStyle w:val="Normal"/>
        <w:jc w:val="both"/>
        <w:rPr>
          <w:b w:val="false"/>
          <w:sz w:val="24"/>
        </w:rPr>
      </w:pPr>
      <w:r>
        <w:rPr>
          <w:b w:val="false"/>
          <w:sz w:val="24"/>
        </w:rPr>
        <w:t xml:space="preserve">Entendemos que algumas soluções expeditas sendo propostas, algumas de suspensão imediata do Anexo V, em muito refletem a falta de cultura do setor elétrico brasileiro de respeito aos contratos. Até 1993 inexistiam instrumentos contratuais para compra e venda de energia no atacado: riscos, ganhos e prejuízos eram sempre socializados através de um processo orquestrado pelo grupo GCOI, da Eletrobrás. </w:t>
      </w:r>
    </w:p>
    <w:p>
      <w:pPr>
        <w:pStyle w:val="Normal"/>
        <w:jc w:val="both"/>
        <w:rPr>
          <w:b w:val="false"/>
          <w:sz w:val="24"/>
        </w:rPr>
      </w:pPr>
      <w:r>
        <w:rPr>
          <w:b w:val="false"/>
          <w:sz w:val="24"/>
        </w:rPr>
      </w:r>
    </w:p>
    <w:p>
      <w:pPr>
        <w:pStyle w:val="Normal"/>
        <w:jc w:val="both"/>
        <w:rPr>
          <w:b w:val="false"/>
          <w:sz w:val="24"/>
        </w:rPr>
      </w:pPr>
      <w:r>
        <w:rPr>
          <w:b w:val="false"/>
          <w:sz w:val="24"/>
        </w:rPr>
        <w:t>O setor mudou, mas a cultura prevalece. Esta cultura é extremamente prejudicial para a expansão do setor elétrico. O investidor requer regras claras e solidez contratual: é o que estamos denominando “santidade” do contrato.</w:t>
      </w:r>
    </w:p>
    <w:p>
      <w:pPr>
        <w:pStyle w:val="Normal"/>
        <w:jc w:val="both"/>
        <w:rPr>
          <w:b w:val="false"/>
          <w:sz w:val="24"/>
        </w:rPr>
      </w:pPr>
      <w:r>
        <w:rPr>
          <w:b w:val="false"/>
          <w:sz w:val="24"/>
        </w:rPr>
      </w:r>
    </w:p>
    <w:p>
      <w:pPr>
        <w:pStyle w:val="Normal"/>
        <w:jc w:val="both"/>
        <w:rPr>
          <w:b w:val="false"/>
          <w:sz w:val="24"/>
        </w:rPr>
      </w:pPr>
      <w:r>
        <w:rPr>
          <w:b w:val="false"/>
          <w:sz w:val="24"/>
        </w:rPr>
        <w:t>Alterar o Anexo V, evocando uma situação de racionamento, é uma ruptura clara das cláusulas contratuais. Isto porque o Anexo V trata justamente desta situação, tendo sido desenhado pelas próprias empresas geradoras em 1998, quando da feitura dos Contratos Iniciais. Estabelece que os volumes contratuais se reduzem como uma função do preço spot. Nas discussões iniciais, este dispositivo era denominado cláusula de “alívio de período seco”.</w:t>
      </w:r>
    </w:p>
    <w:p>
      <w:pPr>
        <w:pStyle w:val="Normal"/>
        <w:jc w:val="both"/>
        <w:rPr>
          <w:b w:val="false"/>
          <w:sz w:val="24"/>
        </w:rPr>
      </w:pPr>
      <w:r>
        <w:rPr>
          <w:b w:val="false"/>
          <w:sz w:val="24"/>
        </w:rPr>
      </w:r>
    </w:p>
    <w:p>
      <w:pPr>
        <w:pStyle w:val="Normal"/>
        <w:jc w:val="both"/>
        <w:rPr>
          <w:b w:val="false"/>
          <w:sz w:val="24"/>
        </w:rPr>
      </w:pPr>
      <w:r>
        <w:rPr>
          <w:b w:val="false"/>
          <w:sz w:val="24"/>
        </w:rPr>
        <w:t>De 1998 até a presente data, o Contrato, as regras de preço e o custo de déficit estão aderentes às regras colocadas há três anos atrás: não houve qualquer fato novo que justificasse uma alteração dos Contratos. Inclusive, três grandes empresas geradoras foram privatizadas e seus preços estabelecidos em função da existência do Anexo V. Uma alteração unilateral poderia caracterizar um “windfall profit” para as empresas privatizadas, o que certamente geraria inúmeros questionamentos ao Poder Judiciário.</w:t>
      </w:r>
    </w:p>
    <w:p>
      <w:pPr>
        <w:pStyle w:val="Normal"/>
        <w:jc w:val="both"/>
        <w:rPr>
          <w:b w:val="false"/>
          <w:sz w:val="24"/>
        </w:rPr>
      </w:pPr>
      <w:r>
        <w:rPr>
          <w:b w:val="false"/>
          <w:sz w:val="24"/>
        </w:rPr>
      </w:r>
    </w:p>
    <w:p>
      <w:pPr>
        <w:pStyle w:val="Normal"/>
        <w:jc w:val="both"/>
        <w:rPr>
          <w:b w:val="false"/>
          <w:sz w:val="24"/>
        </w:rPr>
      </w:pPr>
      <w:r>
        <w:rPr>
          <w:b w:val="false"/>
          <w:sz w:val="24"/>
        </w:rPr>
        <w:t>Somos sensíveis a um possível desequilíbrio econômico financeiro das empresas geradoras. Sugerimos que a CGE solicite análises detalhadas e examine a situação alegada. Caso se demonstre a gravidade da situação, a ponto de colocar em risco a viabilidade econômica de uma ou mais geradoras, que se dê um tratamento especial via um incremento das tarifas de suprimento, ressaltando o caráter excepcional da ação governamental.</w:t>
      </w:r>
    </w:p>
    <w:p>
      <w:pPr>
        <w:pStyle w:val="Normal"/>
        <w:jc w:val="both"/>
        <w:rPr>
          <w:b w:val="false"/>
          <w:sz w:val="24"/>
        </w:rPr>
      </w:pPr>
      <w:r>
        <w:rPr>
          <w:b w:val="false"/>
          <w:sz w:val="24"/>
        </w:rPr>
      </w:r>
    </w:p>
    <w:p>
      <w:pPr>
        <w:pStyle w:val="Normal"/>
        <w:jc w:val="both"/>
        <w:rPr>
          <w:b w:val="false"/>
          <w:sz w:val="24"/>
        </w:rPr>
      </w:pPr>
      <w:r>
        <w:rPr>
          <w:b w:val="false"/>
          <w:sz w:val="24"/>
        </w:rPr>
        <w:t xml:space="preserve">Não concordamos com algumas das justificativas sendo postuladas, de que a alteração no Anexo V visa evitar o fenômeno Califórnia. Em realidade, a situação é oposta. Na Califórnia, agentes foram literalmente proibidos de celebrar contratos de longo prazo, os quais funcionariam como uma espécie de “hedge” contra a volatilidade do preço spot. Um aumento súbito no preço spot o qual não pode ser repassado ao cliente final acabou gerando um déficit financeiro de quase U$ 13 bilhões em apenas duas grandes empresas concessionárias. Cabe aí uma recuperação dos prejuízos causados por uma política regulatória insana. No Brasil, o sinal regulatório era exatamente o oposto, havendo um incentivo forte à contratação. Não há porque “resgatar” empresas que, conscientes, assumiram o risco residual do Anexo V, e que nada fizeram em termos de contratação ou nova expansão para poder mitigá-lo. </w:t>
      </w:r>
    </w:p>
    <w:p>
      <w:pPr>
        <w:pStyle w:val="Normal"/>
        <w:jc w:val="both"/>
        <w:rPr>
          <w:b w:val="false"/>
          <w:sz w:val="24"/>
        </w:rPr>
      </w:pPr>
      <w:r>
        <w:rPr>
          <w:b w:val="false"/>
          <w:sz w:val="24"/>
        </w:rPr>
      </w:r>
    </w:p>
    <w:p>
      <w:pPr>
        <w:pStyle w:val="Normal"/>
        <w:jc w:val="both"/>
        <w:rPr>
          <w:b w:val="false"/>
          <w:sz w:val="24"/>
        </w:rPr>
      </w:pPr>
      <w:r>
        <w:rPr>
          <w:b w:val="false"/>
          <w:sz w:val="24"/>
        </w:rPr>
        <w:t>Em suma, somos frontalmente contrários à qualquer alteração de contratos que não esteja respaldada em Lei. O caso do racionamento, como é de ciência de todos, já estava claramente disposto no Anexo V dos Contratos Iniciais. Mudar contratos cria uma percepção de intranqüilidade e gera, para o futuro, um clima de contratação irresponsável: empresas concessionárias estarão dispostas a correr um risco sempre maior do que o indicado pelas melhores práticas, haja vista a possibilidade de que as mesmas possam vir a ser “resgatadas” em caso de insolvência causada por excessiva exposição ao mercado.</w:t>
      </w:r>
    </w:p>
    <w:p>
      <w:pPr>
        <w:pStyle w:val="Normal"/>
        <w:jc w:val="both"/>
        <w:rPr>
          <w:b w:val="false"/>
          <w:sz w:val="24"/>
        </w:rPr>
      </w:pPr>
      <w:r>
        <w:rPr>
          <w:b w:val="false"/>
          <w:sz w:val="24"/>
        </w:rPr>
      </w:r>
    </w:p>
    <w:p>
      <w:pPr>
        <w:pStyle w:val="Normal"/>
        <w:jc w:val="both"/>
        <w:rPr>
          <w:b w:val="false"/>
          <w:sz w:val="24"/>
        </w:rPr>
      </w:pPr>
      <w:r>
        <w:rPr>
          <w:b w:val="false"/>
          <w:sz w:val="24"/>
        </w:rPr>
      </w:r>
    </w:p>
    <w:p>
      <w:pPr>
        <w:pStyle w:val="Normal"/>
        <w:jc w:val="both"/>
        <w:rPr>
          <w:b w:val="false"/>
          <w:sz w:val="24"/>
          <w:u w:val="single"/>
        </w:rPr>
      </w:pPr>
      <w:r>
        <w:rPr>
          <w:b w:val="false"/>
          <w:sz w:val="24"/>
          <w:u w:val="single"/>
        </w:rPr>
        <w:t>2) Fixação de “caps” no preço spot do Mercado Atacadista de Energia</w:t>
      </w:r>
    </w:p>
    <w:p>
      <w:pPr>
        <w:pStyle w:val="Normal"/>
        <w:jc w:val="both"/>
        <w:rPr>
          <w:b w:val="false"/>
          <w:sz w:val="24"/>
          <w:u w:val="single"/>
        </w:rPr>
      </w:pPr>
      <w:r>
        <w:rPr>
          <w:b w:val="false"/>
          <w:sz w:val="24"/>
          <w:u w:val="single"/>
        </w:rPr>
      </w:r>
    </w:p>
    <w:p>
      <w:pPr>
        <w:pStyle w:val="Normal"/>
        <w:jc w:val="both"/>
        <w:rPr>
          <w:b w:val="false"/>
          <w:sz w:val="24"/>
        </w:rPr>
      </w:pPr>
      <w:r>
        <w:rPr>
          <w:b w:val="false"/>
          <w:sz w:val="24"/>
        </w:rPr>
        <w:t>A fixação de um “cap” no preço spot do MAE é mais uma das medidas sendo discutidas, a qual consideramos extremamente inoportuna e danosa à expansão e ao êxito do programa de racionamento.</w:t>
      </w:r>
    </w:p>
    <w:p>
      <w:pPr>
        <w:pStyle w:val="Normal"/>
        <w:jc w:val="both"/>
        <w:rPr>
          <w:b w:val="false"/>
          <w:sz w:val="24"/>
        </w:rPr>
      </w:pPr>
      <w:r>
        <w:rPr>
          <w:b w:val="false"/>
          <w:sz w:val="24"/>
        </w:rPr>
      </w:r>
    </w:p>
    <w:p>
      <w:pPr>
        <w:pStyle w:val="Normal"/>
        <w:jc w:val="both"/>
        <w:rPr>
          <w:b w:val="false"/>
          <w:sz w:val="24"/>
        </w:rPr>
      </w:pPr>
      <w:r>
        <w:rPr>
          <w:b w:val="false"/>
          <w:sz w:val="24"/>
        </w:rPr>
        <w:t xml:space="preserve">A medida visa, em última análise, evitar exposições financeiras àqueles agentes compradores no Mercado Atacadista de Energia, os quais deveriam liquidar suas posições a um preço de R$ 684/MWh. Este representa o preço esperado da energia no MAE, durante o período de racionamento. Este valor equivale ao assim chamado “custo do déficit”, o qual representa, segundo o modelo de estabelecimento de preços atual, o máximo que os consumidores estariam dispostos a pagar. Serve, por corolário, como um “cap” implícito do preço do MAE. </w:t>
      </w:r>
    </w:p>
    <w:p>
      <w:pPr>
        <w:pStyle w:val="Normal"/>
        <w:jc w:val="both"/>
        <w:rPr>
          <w:b w:val="false"/>
          <w:sz w:val="24"/>
        </w:rPr>
      </w:pPr>
      <w:r>
        <w:rPr>
          <w:b w:val="false"/>
          <w:sz w:val="24"/>
        </w:rPr>
      </w:r>
    </w:p>
    <w:p>
      <w:pPr>
        <w:pStyle w:val="Normal"/>
        <w:jc w:val="both"/>
        <w:rPr>
          <w:b w:val="false"/>
          <w:sz w:val="24"/>
        </w:rPr>
      </w:pPr>
      <w:r>
        <w:rPr>
          <w:b w:val="false"/>
          <w:sz w:val="24"/>
        </w:rPr>
        <w:t>Fixar um novo “cap” a um valor inferior ao custo de déficit, é uma violação de regras de mercado, visando beneficiar àqueles agentes que se sub-contrataram. A medida virá em detrimento daqueles agentes que se contrataram prudentemente. Trata-se pois de um incentivo perverso, beneficiando àqueles que ao se sub-contratarem não favoreceram a expansão do sistema.</w:t>
      </w:r>
    </w:p>
    <w:p>
      <w:pPr>
        <w:pStyle w:val="Normal"/>
        <w:jc w:val="both"/>
        <w:rPr>
          <w:b w:val="false"/>
          <w:sz w:val="24"/>
        </w:rPr>
      </w:pPr>
      <w:r>
        <w:rPr>
          <w:b w:val="false"/>
          <w:sz w:val="24"/>
        </w:rPr>
      </w:r>
    </w:p>
    <w:p>
      <w:pPr>
        <w:pStyle w:val="Normal"/>
        <w:jc w:val="both"/>
        <w:rPr>
          <w:b w:val="false"/>
          <w:sz w:val="24"/>
        </w:rPr>
      </w:pPr>
      <w:r>
        <w:rPr>
          <w:b w:val="false"/>
          <w:sz w:val="24"/>
        </w:rPr>
        <w:t>Pior que isto, a fixação de um “cap” inferior ao custo do déficit dá uma sinalização perversa à nova expansão, seja ela advinda de plantas termelétricas, co-geração ou mesmo geração de back-up interessada em investir no sistema e cuja viabilidade depende do sinal adequado de preço.</w:t>
      </w:r>
    </w:p>
    <w:p>
      <w:pPr>
        <w:pStyle w:val="Normal"/>
        <w:jc w:val="both"/>
        <w:rPr>
          <w:b w:val="false"/>
          <w:sz w:val="24"/>
        </w:rPr>
      </w:pPr>
      <w:r>
        <w:rPr>
          <w:b w:val="false"/>
          <w:sz w:val="24"/>
        </w:rPr>
      </w:r>
    </w:p>
    <w:p>
      <w:pPr>
        <w:pStyle w:val="Normal"/>
        <w:jc w:val="both"/>
        <w:rPr>
          <w:b w:val="false"/>
          <w:sz w:val="24"/>
        </w:rPr>
      </w:pPr>
      <w:r>
        <w:rPr>
          <w:b w:val="false"/>
          <w:sz w:val="24"/>
        </w:rPr>
        <w:t>Ademais, todo o plano de quotas foi “montado” com base em sinais econômicos gerados pelo MAE. Esta é, a nosso ver, a forma correta e que foi escolhida pelo governo. Alterar o preço spot é correr um risco demasiado de que as metas de redução de demanda previstas no plano não virão a se materializar: isto porque vários consumidores estarão dispostos a pagar o preço de energia entre o cap e o custo de déficit; analogamente, menos consumidores estarão dispostos a vender sua quota se o preço do spot estiver a um patamar inferior a R$ 684. A redução almejada de 20% dificilmente será atingida. É preciso que o plano de racionamento e as medidas sendo tomadas no âmbito do MAE estejam perfeitamente “casadas”.</w:t>
      </w:r>
    </w:p>
    <w:p>
      <w:pPr>
        <w:pStyle w:val="Normal"/>
        <w:jc w:val="both"/>
        <w:rPr>
          <w:b w:val="false"/>
          <w:sz w:val="24"/>
        </w:rPr>
      </w:pPr>
      <w:r>
        <w:rPr>
          <w:b w:val="false"/>
          <w:sz w:val="24"/>
        </w:rPr>
      </w:r>
    </w:p>
    <w:p>
      <w:pPr>
        <w:pStyle w:val="Normal"/>
        <w:jc w:val="both"/>
        <w:rPr>
          <w:b w:val="false"/>
          <w:sz w:val="24"/>
        </w:rPr>
      </w:pPr>
      <w:r>
        <w:rPr>
          <w:b w:val="false"/>
          <w:sz w:val="24"/>
        </w:rPr>
        <w:t>É importante que a CGE tenha em mente que sinais econômicos e a premissa “ninguém ganha, ninguém perde”, são contradições em si mesmas. O sinal econômico, seja ele superposto à cota, seja ele indutor de novos investimentos, foi colocado justamente para frear a demanda e incentivar o consumo. Quem economizar ou gerar ganha; quem não economizar ou tiver exposições contratuais perde. Recomendamos muito cuidado no uso de premissas ou clichês que nada tem a ver com a realidade econômica sendo hoje vivenciada pelo setor elétrico, o qual enfrenta um desafio monumental de alocação adequada de um recurso escasso.</w:t>
      </w:r>
    </w:p>
    <w:p>
      <w:pPr>
        <w:pStyle w:val="Normal"/>
        <w:jc w:val="both"/>
        <w:rPr>
          <w:b w:val="false"/>
          <w:sz w:val="24"/>
        </w:rPr>
      </w:pPr>
      <w:r>
        <w:rPr>
          <w:b w:val="false"/>
          <w:sz w:val="24"/>
        </w:rPr>
      </w:r>
    </w:p>
    <w:p>
      <w:pPr>
        <w:pStyle w:val="Normal"/>
        <w:jc w:val="both"/>
        <w:rPr>
          <w:b w:val="false"/>
          <w:sz w:val="24"/>
        </w:rPr>
      </w:pPr>
      <w:r>
        <w:rPr>
          <w:b w:val="false"/>
          <w:sz w:val="24"/>
        </w:rPr>
        <w:t>Mais uma vez, a alegação de que a Califórnia fixou um “cap” durante a crise não serve como exemplo para o Brasil. O suporte da FERC (Federal Energy Regulatory Comission) ao estabelecimento de um cap se deve à uma suspeita de “manipulação”  do preço spot causada por regras de mercado deficientes, que estimulavam tal comportamento. No caso brasileiro o preço de R$ 684 reflete a escassez da energia. Pelo contrário: há evidências de que esta valor está demasiadamente baixo, e deveria ser corrigido para algo próximo a R$ 2.300/MWh. Obviamente que esta mudança poderia ser percebida como uma alteração das regras, ainda que provesse um sinal de preço mais adequado. Por que então fixar um cap implícito no preço do MAE, gerando a mesma percepção de mudança e ainda na direção técnicamente errônea?</w:t>
      </w:r>
    </w:p>
    <w:p>
      <w:pPr>
        <w:pStyle w:val="Normal"/>
        <w:jc w:val="both"/>
        <w:rPr>
          <w:b w:val="false"/>
          <w:sz w:val="24"/>
        </w:rPr>
      </w:pPr>
      <w:r>
        <w:rPr>
          <w:b w:val="false"/>
          <w:sz w:val="24"/>
        </w:rPr>
      </w:r>
    </w:p>
    <w:p>
      <w:pPr>
        <w:pStyle w:val="Normal"/>
        <w:jc w:val="both"/>
        <w:rPr>
          <w:b w:val="false"/>
          <w:sz w:val="24"/>
        </w:rPr>
      </w:pPr>
      <w:r>
        <w:rPr>
          <w:b w:val="false"/>
          <w:sz w:val="24"/>
        </w:rPr>
        <w:t xml:space="preserve">Em suma, fixar um preço no spot, para mitigar o impacto em agentes sub-contratados é uma medida inoportuna, a qual, repetimos, irá agravar a crise do racionamento e desestimular uma gama de investimentos em nova geração. </w:t>
      </w:r>
    </w:p>
    <w:p>
      <w:pPr>
        <w:pStyle w:val="Normal"/>
        <w:jc w:val="both"/>
        <w:rPr>
          <w:b w:val="false"/>
          <w:sz w:val="24"/>
        </w:rPr>
      </w:pPr>
      <w:r>
        <w:rPr>
          <w:b w:val="false"/>
          <w:sz w:val="24"/>
        </w:rPr>
      </w:r>
    </w:p>
    <w:p>
      <w:pPr>
        <w:pStyle w:val="Normal"/>
        <w:jc w:val="both"/>
        <w:rPr>
          <w:b w:val="false"/>
          <w:sz w:val="24"/>
        </w:rPr>
      </w:pPr>
      <w:r>
        <w:rPr>
          <w:b w:val="false"/>
          <w:sz w:val="24"/>
        </w:rPr>
      </w:r>
    </w:p>
    <w:p>
      <w:pPr>
        <w:pStyle w:val="Normal"/>
        <w:jc w:val="both"/>
        <w:rPr>
          <w:b w:val="false"/>
          <w:sz w:val="24"/>
          <w:u w:val="single"/>
        </w:rPr>
      </w:pPr>
      <w:r>
        <w:rPr>
          <w:b w:val="false"/>
          <w:sz w:val="24"/>
          <w:u w:val="single"/>
        </w:rPr>
        <w:t>3) O funcionamento do Mercado Atacadista de Energia</w:t>
      </w:r>
    </w:p>
    <w:p>
      <w:pPr>
        <w:pStyle w:val="Normal"/>
        <w:jc w:val="both"/>
        <w:rPr>
          <w:b w:val="false"/>
          <w:sz w:val="24"/>
          <w:u w:val="single"/>
        </w:rPr>
      </w:pPr>
      <w:r>
        <w:rPr>
          <w:b w:val="false"/>
          <w:sz w:val="24"/>
          <w:u w:val="single"/>
        </w:rPr>
      </w:r>
    </w:p>
    <w:p>
      <w:pPr>
        <w:pStyle w:val="Normal"/>
        <w:jc w:val="both"/>
        <w:rPr>
          <w:b w:val="false"/>
          <w:sz w:val="24"/>
        </w:rPr>
      </w:pPr>
      <w:r>
        <w:rPr>
          <w:b w:val="false"/>
          <w:sz w:val="24"/>
        </w:rPr>
        <w:t>O Mercado Atacadista de Energia (MAE) é uma peça fundamental do novo setor elétrico brasileiro. Ele é que propicia um ambiente de liquidação dos contratos e de sinalização quanto ao preço da energia elétrica. O MAE se torna particularmente importante neste momento, para o fomento de nova geração bem como como ambiente de comercialização de cotas. Passa pois a ter um papel preponderante para o próprio exito do programa de racionamento e para a mitigação de seus impactos.</w:t>
      </w:r>
    </w:p>
    <w:p>
      <w:pPr>
        <w:pStyle w:val="Normal"/>
        <w:jc w:val="both"/>
        <w:rPr>
          <w:b w:val="false"/>
          <w:sz w:val="24"/>
        </w:rPr>
      </w:pPr>
      <w:r>
        <w:rPr>
          <w:b w:val="false"/>
          <w:sz w:val="24"/>
        </w:rPr>
      </w:r>
    </w:p>
    <w:p>
      <w:pPr>
        <w:pStyle w:val="Normal"/>
        <w:jc w:val="both"/>
        <w:rPr>
          <w:b w:val="false"/>
          <w:sz w:val="24"/>
        </w:rPr>
      </w:pPr>
      <w:r>
        <w:rPr>
          <w:b w:val="false"/>
          <w:sz w:val="24"/>
        </w:rPr>
        <w:t xml:space="preserve">Infelizmente, por uma série de razões que fogem ao escopo deste documento, a implementação do MAE vem sofrendo atrasos sucessivos. Inicialmente previsto para pleno funcionamento em janeiro de 2000, teve sua inauguração em setembro do mesmo ano. Entretanto, desde aquela data, não houve uma liquidação financeira sequer. </w:t>
      </w:r>
    </w:p>
    <w:p>
      <w:pPr>
        <w:pStyle w:val="Normal"/>
        <w:jc w:val="both"/>
        <w:rPr>
          <w:b w:val="false"/>
          <w:sz w:val="24"/>
        </w:rPr>
      </w:pPr>
      <w:r>
        <w:rPr>
          <w:b w:val="false"/>
          <w:sz w:val="24"/>
        </w:rPr>
      </w:r>
    </w:p>
    <w:p>
      <w:pPr>
        <w:pStyle w:val="Normal"/>
        <w:jc w:val="both"/>
        <w:rPr>
          <w:b w:val="false"/>
          <w:sz w:val="24"/>
        </w:rPr>
      </w:pPr>
      <w:r>
        <w:rPr>
          <w:b w:val="false"/>
          <w:sz w:val="24"/>
        </w:rPr>
        <w:t>O MAE foi prejudicado por disputas de natureza contratual (sendo a da energia de Angra II a mais importante) e por questões de uma fraca “governança”. A este respeito, encaminhamos nosso ponto de vista, expresso em novembro de 2000, através de nosso Informativo Regulatório # 3, o qual acreditamos ser de seu conhecimento.</w:t>
      </w:r>
    </w:p>
    <w:p>
      <w:pPr>
        <w:pStyle w:val="Normal"/>
        <w:jc w:val="both"/>
        <w:rPr>
          <w:b w:val="false"/>
          <w:sz w:val="24"/>
        </w:rPr>
      </w:pPr>
      <w:r>
        <w:rPr>
          <w:b w:val="false"/>
          <w:sz w:val="24"/>
        </w:rPr>
      </w:r>
    </w:p>
    <w:p>
      <w:pPr>
        <w:pStyle w:val="Normal"/>
        <w:jc w:val="both"/>
        <w:rPr>
          <w:b w:val="false"/>
          <w:sz w:val="24"/>
        </w:rPr>
      </w:pPr>
      <w:r>
        <w:rPr>
          <w:b w:val="false"/>
          <w:sz w:val="24"/>
        </w:rPr>
        <w:t>Para corrigir as falhas de uma governança deficiente, a ANEEL, há cerca de um mês atrás, emitiu uma série de atos normativos (Resoluções 160/161/162) extinguindo o COEX e estabelecendo mecanismos de garantia e liquidação mínimos para propiciar o funcionamento do mercado.</w:t>
      </w:r>
    </w:p>
    <w:p>
      <w:pPr>
        <w:pStyle w:val="Normal"/>
        <w:jc w:val="both"/>
        <w:rPr>
          <w:b w:val="false"/>
          <w:sz w:val="24"/>
        </w:rPr>
      </w:pPr>
      <w:r>
        <w:rPr>
          <w:b w:val="false"/>
          <w:sz w:val="24"/>
        </w:rPr>
      </w:r>
    </w:p>
    <w:p>
      <w:pPr>
        <w:pStyle w:val="Normal"/>
        <w:jc w:val="both"/>
        <w:rPr>
          <w:b w:val="false"/>
          <w:sz w:val="24"/>
        </w:rPr>
      </w:pPr>
      <w:r>
        <w:rPr>
          <w:b w:val="false"/>
          <w:sz w:val="24"/>
        </w:rPr>
        <w:t>As medidas causaram reação adversa das empresas por entenderem ser uma intervenção indevida. Entendemos que a alegada “intervenção” foi um mal necessário..</w:t>
      </w:r>
    </w:p>
    <w:p>
      <w:pPr>
        <w:pStyle w:val="Normal"/>
        <w:jc w:val="both"/>
        <w:rPr>
          <w:b w:val="false"/>
          <w:sz w:val="24"/>
        </w:rPr>
      </w:pPr>
      <w:r>
        <w:rPr>
          <w:b w:val="false"/>
          <w:sz w:val="24"/>
        </w:rPr>
      </w:r>
    </w:p>
    <w:p>
      <w:pPr>
        <w:pStyle w:val="Normal"/>
        <w:jc w:val="both"/>
        <w:rPr>
          <w:b w:val="false"/>
          <w:sz w:val="24"/>
        </w:rPr>
      </w:pPr>
      <w:r>
        <w:rPr>
          <w:b w:val="false"/>
          <w:sz w:val="24"/>
        </w:rPr>
        <w:t xml:space="preserve">Infelizmente, a crise do racionamento atrasou o andamento dos trabalhos de desenho de um novo MAE. Sugerimos portanto a V.Sa. que retome e lidere estes trabalhos. </w:t>
      </w:r>
    </w:p>
    <w:p>
      <w:pPr>
        <w:pStyle w:val="Normal"/>
        <w:jc w:val="both"/>
        <w:rPr>
          <w:b w:val="false"/>
          <w:sz w:val="24"/>
        </w:rPr>
      </w:pPr>
      <w:r>
        <w:rPr>
          <w:b w:val="false"/>
          <w:sz w:val="24"/>
        </w:rPr>
      </w:r>
    </w:p>
    <w:p>
      <w:pPr>
        <w:pStyle w:val="Normal"/>
        <w:jc w:val="both"/>
        <w:rPr>
          <w:b w:val="false"/>
          <w:sz w:val="24"/>
        </w:rPr>
      </w:pPr>
      <w:r>
        <w:rPr>
          <w:b w:val="false"/>
          <w:sz w:val="24"/>
        </w:rPr>
        <w:t>Acreditamos serem pontos vitais para o bom funcionamento do MAE:</w:t>
      </w:r>
    </w:p>
    <w:p>
      <w:pPr>
        <w:pStyle w:val="Normal"/>
        <w:jc w:val="both"/>
        <w:rPr>
          <w:b w:val="false"/>
          <w:sz w:val="24"/>
        </w:rPr>
      </w:pPr>
      <w:r>
        <w:rPr>
          <w:b w:val="false"/>
          <w:sz w:val="24"/>
        </w:rPr>
      </w:r>
    </w:p>
    <w:p>
      <w:pPr>
        <w:pStyle w:val="Normal"/>
        <w:numPr>
          <w:ilvl w:val="0"/>
          <w:numId w:val="3"/>
        </w:numPr>
        <w:tabs>
          <w:tab w:val="left" w:pos="720" w:leader="none"/>
        </w:tabs>
        <w:ind w:hanging="360" w:start="720" w:end="0"/>
        <w:jc w:val="both"/>
        <w:rPr>
          <w:b w:val="false"/>
          <w:sz w:val="24"/>
        </w:rPr>
      </w:pPr>
      <w:r>
        <w:rPr>
          <w:b w:val="false"/>
          <w:sz w:val="24"/>
        </w:rPr>
        <w:t>Solução para a dívida de Angra II</w:t>
      </w:r>
    </w:p>
    <w:p>
      <w:pPr>
        <w:pStyle w:val="Normal"/>
        <w:numPr>
          <w:ilvl w:val="0"/>
          <w:numId w:val="3"/>
        </w:numPr>
        <w:tabs>
          <w:tab w:val="left" w:pos="720" w:leader="none"/>
        </w:tabs>
        <w:ind w:hanging="360" w:start="720" w:end="0"/>
        <w:jc w:val="both"/>
        <w:rPr>
          <w:b w:val="false"/>
          <w:sz w:val="24"/>
        </w:rPr>
      </w:pPr>
      <w:r>
        <w:rPr>
          <w:b w:val="false"/>
          <w:sz w:val="24"/>
        </w:rPr>
        <w:t>Governança</w:t>
      </w:r>
    </w:p>
    <w:p>
      <w:pPr>
        <w:pStyle w:val="Normal"/>
        <w:numPr>
          <w:ilvl w:val="0"/>
          <w:numId w:val="3"/>
        </w:numPr>
        <w:tabs>
          <w:tab w:val="left" w:pos="720" w:leader="none"/>
        </w:tabs>
        <w:ind w:hanging="360" w:start="720" w:end="0"/>
        <w:jc w:val="both"/>
        <w:rPr>
          <w:b w:val="false"/>
          <w:sz w:val="24"/>
        </w:rPr>
      </w:pPr>
      <w:r>
        <w:rPr>
          <w:b w:val="false"/>
          <w:sz w:val="24"/>
        </w:rPr>
        <w:t>Penalidades e Garantias</w:t>
      </w:r>
    </w:p>
    <w:p>
      <w:pPr>
        <w:pStyle w:val="Normal"/>
        <w:numPr>
          <w:ilvl w:val="0"/>
          <w:numId w:val="3"/>
        </w:numPr>
        <w:tabs>
          <w:tab w:val="left" w:pos="720" w:leader="none"/>
        </w:tabs>
        <w:ind w:hanging="360" w:start="720" w:end="0"/>
        <w:jc w:val="both"/>
        <w:rPr>
          <w:b w:val="false"/>
          <w:sz w:val="24"/>
        </w:rPr>
      </w:pPr>
      <w:r>
        <w:rPr>
          <w:b w:val="false"/>
          <w:sz w:val="24"/>
        </w:rPr>
        <w:t xml:space="preserve">Relações organizacionais </w:t>
      </w:r>
    </w:p>
    <w:p>
      <w:pPr>
        <w:pStyle w:val="Normal"/>
        <w:jc w:val="both"/>
        <w:rPr>
          <w:b w:val="false"/>
          <w:sz w:val="24"/>
        </w:rPr>
      </w:pPr>
      <w:r>
        <w:rPr>
          <w:b w:val="false"/>
          <w:sz w:val="24"/>
        </w:rPr>
      </w:r>
    </w:p>
    <w:p>
      <w:pPr>
        <w:pStyle w:val="Normal"/>
        <w:jc w:val="both"/>
        <w:rPr>
          <w:b w:val="false"/>
          <w:sz w:val="24"/>
        </w:rPr>
      </w:pPr>
      <w:r>
        <w:rPr>
          <w:b w:val="false"/>
          <w:sz w:val="24"/>
        </w:rPr>
        <w:t>Sugerimos que a CGE retome imediatamente os trabalhos, e com a força institucional a qual lhe foi delegada, encare de frente e de forma urgente, as questões necessárias para o bom funcionamento do mercado atacadista.</w:t>
      </w:r>
    </w:p>
    <w:p>
      <w:pPr>
        <w:pStyle w:val="Normal"/>
        <w:jc w:val="both"/>
        <w:rPr>
          <w:b w:val="false"/>
          <w:sz w:val="24"/>
        </w:rPr>
      </w:pPr>
      <w:r>
        <w:rPr>
          <w:b w:val="false"/>
          <w:sz w:val="24"/>
        </w:rPr>
      </w:r>
    </w:p>
    <w:p>
      <w:pPr>
        <w:pStyle w:val="Normal"/>
        <w:jc w:val="both"/>
        <w:rPr>
          <w:b w:val="false"/>
          <w:sz w:val="24"/>
        </w:rPr>
      </w:pPr>
      <w:r>
        <w:rPr>
          <w:b w:val="false"/>
          <w:sz w:val="24"/>
        </w:rPr>
        <w:t xml:space="preserve">Aproveitamos a oportunidade para encaminhar a V.Ex.a. documento por nós recentemente enviado à ANEEL, contendo sugestões pragmáticas de como a governança, estrutura e processos chave do MAE deveriam ser corrigidos para permitir seu funcionamento expedito. </w:t>
      </w:r>
    </w:p>
    <w:p>
      <w:pPr>
        <w:pStyle w:val="Normal"/>
        <w:jc w:val="both"/>
        <w:rPr>
          <w:b w:val="false"/>
          <w:sz w:val="24"/>
        </w:rPr>
      </w:pPr>
      <w:r>
        <w:rPr>
          <w:b w:val="false"/>
          <w:sz w:val="24"/>
        </w:rPr>
      </w:r>
    </w:p>
    <w:p>
      <w:pPr>
        <w:pStyle w:val="Normal"/>
        <w:jc w:val="both"/>
        <w:rPr>
          <w:b w:val="false"/>
          <w:sz w:val="24"/>
        </w:rPr>
      </w:pPr>
      <w:r>
        <w:rPr>
          <w:b w:val="false"/>
          <w:sz w:val="24"/>
        </w:rPr>
        <w:t>Estamos certos que a CGE está engajada e tem os poderes institucionais necessários para lidar com as questões elencadas neste documento. Desde já, nos colocamos à disposição para esclarecimentos ou aprofundamentos que se façam necessário, com base em nossa experiência internacional de funcionamento de mercados atacadistas de energia.</w:t>
      </w:r>
    </w:p>
    <w:p>
      <w:pPr>
        <w:pStyle w:val="Normal"/>
        <w:jc w:val="both"/>
        <w:rPr>
          <w:b w:val="false"/>
          <w:sz w:val="24"/>
        </w:rPr>
      </w:pPr>
      <w:r>
        <w:rPr>
          <w:b w:val="false"/>
          <w:sz w:val="24"/>
        </w:rPr>
      </w:r>
      <w:r>
        <w:br w:type="page"/>
      </w:r>
    </w:p>
    <w:p>
      <w:pPr>
        <w:pStyle w:val="Normal"/>
        <w:jc w:val="center"/>
        <w:rPr>
          <w:sz w:val="32"/>
        </w:rPr>
      </w:pPr>
      <w:r>
        <w:rPr>
          <w:sz w:val="32"/>
        </w:rPr>
        <w:t>Posição da Enron sobre Resoluções 160/161/162</w:t>
      </w:r>
      <w:r>
        <w:br w:type="page"/>
      </w:r>
    </w:p>
    <w:p>
      <w:pPr>
        <w:pStyle w:val="Heading2"/>
        <w:ind w:hanging="0" w:start="0"/>
        <w:rPr>
          <w:sz w:val="32"/>
        </w:rPr>
      </w:pPr>
      <w:r>
        <w:rPr>
          <w:sz w:val="32"/>
        </w:rPr>
        <w:t xml:space="preserve">Posição da Enron sobre Governança do MAE </w:t>
      </w:r>
    </w:p>
    <w:p>
      <w:pPr>
        <w:pStyle w:val="Heading2"/>
        <w:ind w:hanging="0" w:start="0"/>
        <w:rPr>
          <w:sz w:val="32"/>
        </w:rPr>
      </w:pPr>
      <w:r>
        <w:rPr>
          <w:rFonts w:eastAsia="Arial"/>
          <w:sz w:val="32"/>
        </w:rPr>
        <w:t xml:space="preserve"> </w:t>
      </w:r>
      <w:r>
        <w:rPr>
          <w:sz w:val="32"/>
        </w:rPr>
        <w:t>Informativo Regulatório # 3</w:t>
      </w:r>
    </w:p>
    <w:p>
      <w:pPr>
        <w:pStyle w:val="Normal"/>
        <w:jc w:val="both"/>
        <w:rPr>
          <w:b w:val="false"/>
          <w:sz w:val="32"/>
        </w:rPr>
      </w:pPr>
      <w:r>
        <w:rPr>
          <w:b w:val="false"/>
          <w:sz w:val="32"/>
        </w:rPr>
      </w:r>
    </w:p>
    <w:p>
      <w:pPr>
        <w:pStyle w:val="Normal"/>
        <w:jc w:val="both"/>
        <w:rPr>
          <w:b w:val="false"/>
          <w:sz w:val="24"/>
        </w:rPr>
      </w:pPr>
      <w:r>
        <w:rPr>
          <w:b w:val="false"/>
          <w:sz w:val="24"/>
        </w:rPr>
      </w:r>
    </w:p>
    <w:p>
      <w:pPr>
        <w:pStyle w:val="Normal"/>
        <w:jc w:val="both"/>
        <w:rPr>
          <w:b w:val="false"/>
          <w:sz w:val="24"/>
        </w:rPr>
      </w:pPr>
      <w:r>
        <w:rPr>
          <w:b w:val="false"/>
          <w:sz w:val="24"/>
        </w:rPr>
      </w:r>
    </w:p>
    <w:p>
      <w:pPr>
        <w:pStyle w:val="Normal"/>
        <w:jc w:val="both"/>
        <w:rPr>
          <w:b w:val="false"/>
          <w:sz w:val="24"/>
        </w:rPr>
      </w:pPr>
      <w:r>
        <w:rPr>
          <w:b w:val="false"/>
          <w:sz w:val="24"/>
        </w:rPr>
      </w:r>
    </w:p>
    <w:p>
      <w:pPr>
        <w:pStyle w:val="Normal"/>
        <w:jc w:val="both"/>
        <w:rPr>
          <w:b w:val="false"/>
          <w:sz w:val="24"/>
        </w:rPr>
      </w:pPr>
      <w:r>
        <w:rPr>
          <w:b w:val="false"/>
          <w:sz w:val="24"/>
        </w:rPr>
      </w:r>
    </w:p>
    <w:p>
      <w:pPr>
        <w:pStyle w:val="Normal"/>
        <w:jc w:val="both"/>
        <w:rPr>
          <w:b w:val="false"/>
          <w:sz w:val="24"/>
        </w:rPr>
      </w:pPr>
      <w:r>
        <w:rPr>
          <w:b w:val="false"/>
          <w:sz w:val="24"/>
        </w:rPr>
      </w:r>
    </w:p>
    <w:sectPr>
      <w:footerReference w:type="default" r:id="rId3"/>
      <w:type w:val="nextPage"/>
      <w:pgSz w:w="11906" w:h="16838"/>
      <w:pgMar w:left="1260" w:right="1377" w:gutter="0" w:header="0" w:top="1170" w:footer="0" w:bottom="122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29.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b/>
      <w:color w:val="auto"/>
      <w:sz w:val="20"/>
      <w:szCs w:val="20"/>
      <w:lang w:val="pt-BR"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val="false"/>
      <w:sz w:val="28"/>
      <w:lang w:val="en-US"/>
    </w:rPr>
  </w:style>
  <w:style w:type="paragraph" w:styleId="Heading2">
    <w:name w:val="heading 2"/>
    <w:basedOn w:val="Normal"/>
    <w:next w:val="Normal"/>
    <w:qFormat/>
    <w:pPr>
      <w:keepNext w:val="true"/>
      <w:numPr>
        <w:ilvl w:val="1"/>
        <w:numId w:val="1"/>
      </w:numPr>
      <w:jc w:val="center"/>
      <w:outlineLvl w:val="1"/>
    </w:pPr>
    <w:rPr>
      <w:sz w:val="24"/>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Wingdings" w:hAnsi="Wingdings" w:cs="Wingdings"/>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b w:val="false"/>
      <w:lang w:val="en-US"/>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b w:val="fals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2001-05-30T13:16:00Z</dcterms:created>
  <dc:creator>gbraz</dc:creator>
  <dc:description/>
  <dc:language>en-CA</dc:language>
  <cp:lastModifiedBy>Enron</cp:lastModifiedBy>
  <dcterms:modified xsi:type="dcterms:W3CDTF">2001-05-30T13:25:00Z</dcterms:modified>
  <cp:revision>3</cp:revision>
  <dc:subject/>
  <dc:title>Excelentíssimo Senhor</dc:title>
</cp:coreProperties>
</file>