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9270" w:type="dxa"/>
        <w:jc w:val="start"/>
        <w:tblInd w:w="18" w:type="dxa"/>
        <w:tblLayout w:type="fixed"/>
        <w:tblCellMar>
          <w:top w:w="0" w:type="dxa"/>
          <w:start w:w="108" w:type="dxa"/>
          <w:bottom w:w="0" w:type="dxa"/>
          <w:end w:w="108" w:type="dxa"/>
        </w:tblCellMar>
      </w:tblPr>
      <w:tblGrid>
        <w:gridCol w:w="6120"/>
        <w:gridCol w:w="3150"/>
      </w:tblGrid>
      <w:tr>
        <w:trPr>
          <w:trHeight w:val="1260" w:hRule="atLeast"/>
        </w:trPr>
        <w:tc>
          <w:tcPr>
            <w:tcW w:w="6120" w:type="dxa"/>
            <w:tcBorders/>
          </w:tcPr>
          <w:p>
            <w:pPr>
              <w:pStyle w:val="Header"/>
              <w:tabs>
                <w:tab w:val="clear" w:pos="4320"/>
                <w:tab w:val="clear" w:pos="8640"/>
              </w:tabs>
              <w:rPr>
                <w:sz w:val="18"/>
              </w:rPr>
            </w:pPr>
            <w:r>
              <w:rPr/>
              <w:drawing>
                <wp:inline distT="0" distB="0" distL="0" distR="0">
                  <wp:extent cx="649605" cy="6794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9" t="-31" r="-29" b="-31"/>
                          <a:stretch>
                            <a:fillRect/>
                          </a:stretch>
                        </pic:blipFill>
                        <pic:spPr bwMode="auto">
                          <a:xfrm>
                            <a:off x="0" y="0"/>
                            <a:ext cx="649605" cy="679450"/>
                          </a:xfrm>
                          <a:prstGeom prst="rect">
                            <a:avLst/>
                          </a:prstGeom>
                          <a:noFill/>
                        </pic:spPr>
                      </pic:pic>
                    </a:graphicData>
                  </a:graphic>
                </wp:inline>
              </w:drawing>
            </w:r>
          </w:p>
        </w:tc>
        <w:tc>
          <w:tcPr>
            <w:tcW w:w="3150" w:type="dxa"/>
            <w:tcBorders/>
          </w:tcPr>
          <w:p>
            <w:pPr>
              <w:pStyle w:val="Heading1"/>
              <w:ind w:hanging="0" w:start="0"/>
              <w:rPr>
                <w:b/>
                <w:sz w:val="22"/>
              </w:rPr>
            </w:pPr>
            <w:r>
              <w:rPr>
                <w:b/>
                <w:sz w:val="22"/>
              </w:rPr>
              <w:t>Enron América do Sul Ltda.</w:t>
            </w:r>
          </w:p>
          <w:p>
            <w:pPr>
              <w:pStyle w:val="Normal"/>
              <w:rPr>
                <w:b w:val="false"/>
                <w:sz w:val="18"/>
              </w:rPr>
            </w:pPr>
            <w:r>
              <w:rPr>
                <w:b w:val="false"/>
                <w:sz w:val="18"/>
              </w:rPr>
              <w:t>Av.  das Nações Unidas, 11.541</w:t>
            </w:r>
          </w:p>
          <w:p>
            <w:pPr>
              <w:pStyle w:val="Normal"/>
              <w:rPr>
                <w:b w:val="false"/>
                <w:sz w:val="18"/>
              </w:rPr>
            </w:pPr>
            <w:r>
              <w:rPr>
                <w:b w:val="false"/>
                <w:sz w:val="18"/>
              </w:rPr>
              <w:t>6º andar – 04578-000</w:t>
            </w:r>
          </w:p>
          <w:p>
            <w:pPr>
              <w:pStyle w:val="Normal"/>
              <w:rPr>
                <w:b w:val="false"/>
                <w:sz w:val="18"/>
              </w:rPr>
            </w:pPr>
            <w:r>
              <w:rPr>
                <w:b w:val="false"/>
                <w:sz w:val="18"/>
              </w:rPr>
              <w:t>São Paulo – SP – Brasil</w:t>
            </w:r>
          </w:p>
          <w:p>
            <w:pPr>
              <w:pStyle w:val="Normal"/>
              <w:rPr>
                <w:b w:val="false"/>
                <w:sz w:val="18"/>
              </w:rPr>
            </w:pPr>
            <w:r>
              <w:rPr>
                <w:b w:val="false"/>
                <w:sz w:val="18"/>
              </w:rPr>
              <w:t>Tel. 5511 5503-1399</w:t>
            </w:r>
          </w:p>
          <w:p>
            <w:pPr>
              <w:pStyle w:val="Normal"/>
              <w:rPr>
                <w:sz w:val="18"/>
              </w:rPr>
            </w:pPr>
            <w:r>
              <w:rPr>
                <w:b w:val="false"/>
                <w:sz w:val="18"/>
              </w:rPr>
              <w:t>Fax. 5511 5503-1270</w:t>
            </w:r>
          </w:p>
        </w:tc>
      </w:tr>
    </w:tbl>
    <w:p>
      <w:pPr>
        <w:pStyle w:val="Normal"/>
        <w:rPr>
          <w:b w:val="false"/>
          <w:sz w:val="24"/>
        </w:rPr>
      </w:pPr>
      <w:r>
        <w:rPr>
          <w:b w:val="false"/>
          <w:sz w:val="24"/>
        </w:rPr>
      </w:r>
    </w:p>
    <w:p>
      <w:pPr>
        <w:pStyle w:val="Normal"/>
        <w:rPr>
          <w:b w:val="false"/>
          <w:sz w:val="24"/>
        </w:rPr>
      </w:pPr>
      <w:r>
        <w:rPr>
          <w:b w:val="false"/>
          <w:sz w:val="24"/>
        </w:rPr>
      </w:r>
    </w:p>
    <w:p>
      <w:pPr>
        <w:pStyle w:val="Normal"/>
        <w:rPr>
          <w:b w:val="false"/>
          <w:sz w:val="24"/>
        </w:rPr>
      </w:pPr>
      <w:r>
        <w:rPr>
          <w:b w:val="false"/>
          <w:sz w:val="24"/>
        </w:rPr>
      </w:r>
    </w:p>
    <w:p>
      <w:pPr>
        <w:pStyle w:val="Normal"/>
        <w:rPr>
          <w:b w:val="false"/>
          <w:sz w:val="24"/>
        </w:rPr>
      </w:pPr>
      <w:r>
        <w:rPr>
          <w:b w:val="false"/>
          <w:sz w:val="24"/>
        </w:rPr>
      </w:r>
    </w:p>
    <w:p>
      <w:pPr>
        <w:pStyle w:val="Normal"/>
        <w:rPr>
          <w:b w:val="false"/>
          <w:sz w:val="24"/>
        </w:rPr>
      </w:pPr>
      <w:r>
        <w:rPr>
          <w:b w:val="false"/>
          <w:sz w:val="24"/>
        </w:rPr>
        <w:t>São Paulo, 29 de maio de 2001.</w:t>
      </w:r>
    </w:p>
    <w:p>
      <w:pPr>
        <w:pStyle w:val="Normal"/>
        <w:rPr>
          <w:b w:val="false"/>
          <w:sz w:val="24"/>
        </w:rPr>
      </w:pPr>
      <w:r>
        <w:rPr>
          <w:b w:val="false"/>
          <w:sz w:val="24"/>
        </w:rPr>
      </w:r>
    </w:p>
    <w:p>
      <w:pPr>
        <w:pStyle w:val="Normal"/>
        <w:rPr>
          <w:b w:val="false"/>
          <w:sz w:val="24"/>
        </w:rPr>
      </w:pPr>
      <w:r>
        <w:rPr>
          <w:b w:val="false"/>
          <w:sz w:val="24"/>
        </w:rPr>
      </w:r>
    </w:p>
    <w:p>
      <w:pPr>
        <w:pStyle w:val="Normal"/>
        <w:rPr>
          <w:b w:val="false"/>
          <w:sz w:val="24"/>
        </w:rPr>
      </w:pPr>
      <w:r>
        <w:rPr>
          <w:b w:val="false"/>
          <w:sz w:val="24"/>
        </w:rPr>
      </w:r>
    </w:p>
    <w:p>
      <w:pPr>
        <w:pStyle w:val="Normal"/>
        <w:rPr>
          <w:b w:val="false"/>
          <w:sz w:val="24"/>
        </w:rPr>
      </w:pPr>
      <w:r>
        <w:rPr>
          <w:b w:val="false"/>
          <w:sz w:val="24"/>
        </w:rPr>
        <w:t>Excelentíssimo Senhor Pedro Parente</w:t>
      </w:r>
    </w:p>
    <w:p>
      <w:pPr>
        <w:pStyle w:val="Normal"/>
        <w:rPr>
          <w:b w:val="false"/>
          <w:sz w:val="24"/>
        </w:rPr>
      </w:pPr>
      <w:r>
        <w:rPr>
          <w:b w:val="false"/>
          <w:sz w:val="24"/>
        </w:rPr>
        <w:t>Ministro Chefe da Casa Civil de Estado</w:t>
      </w:r>
    </w:p>
    <w:p>
      <w:pPr>
        <w:pStyle w:val="Normal"/>
        <w:rPr>
          <w:b w:val="false"/>
          <w:sz w:val="24"/>
        </w:rPr>
      </w:pPr>
      <w:r>
        <w:rPr>
          <w:b w:val="false"/>
          <w:sz w:val="24"/>
        </w:rPr>
        <w:t>Palácio do Planalto</w:t>
      </w:r>
    </w:p>
    <w:p>
      <w:pPr>
        <w:pStyle w:val="Normal"/>
        <w:rPr>
          <w:b w:val="false"/>
          <w:sz w:val="24"/>
        </w:rPr>
      </w:pPr>
      <w:r>
        <w:rPr>
          <w:b w:val="false"/>
          <w:sz w:val="24"/>
        </w:rPr>
        <w:t>Brasília - DF</w:t>
      </w:r>
    </w:p>
    <w:p>
      <w:pPr>
        <w:pStyle w:val="Normal"/>
        <w:rPr>
          <w:b w:val="false"/>
          <w:sz w:val="24"/>
        </w:rPr>
      </w:pPr>
      <w:r>
        <w:rPr>
          <w:b w:val="false"/>
          <w:sz w:val="24"/>
        </w:rPr>
      </w:r>
    </w:p>
    <w:p>
      <w:pPr>
        <w:pStyle w:val="Normal"/>
        <w:rPr>
          <w:b w:val="false"/>
          <w:sz w:val="24"/>
        </w:rPr>
      </w:pPr>
      <w:r>
        <w:rPr>
          <w:b w:val="false"/>
          <w:sz w:val="24"/>
        </w:rPr>
      </w:r>
    </w:p>
    <w:p>
      <w:pPr>
        <w:pStyle w:val="Normal"/>
        <w:rPr>
          <w:b w:val="false"/>
          <w:sz w:val="24"/>
        </w:rPr>
      </w:pPr>
      <w:r>
        <w:rPr>
          <w:b w:val="false"/>
          <w:sz w:val="24"/>
        </w:rPr>
      </w:r>
    </w:p>
    <w:p>
      <w:pPr>
        <w:pStyle w:val="Normal"/>
        <w:rPr>
          <w:b w:val="false"/>
          <w:sz w:val="24"/>
        </w:rPr>
      </w:pPr>
      <w:r>
        <w:rPr>
          <w:b w:val="false"/>
          <w:sz w:val="24"/>
        </w:rPr>
        <w:t>Excelentíssimo senhor Ministro,</w:t>
      </w:r>
    </w:p>
    <w:p>
      <w:pPr>
        <w:pStyle w:val="Normal"/>
        <w:rPr>
          <w:b w:val="false"/>
          <w:sz w:val="24"/>
        </w:rPr>
      </w:pPr>
      <w:r>
        <w:rPr>
          <w:b w:val="false"/>
          <w:sz w:val="24"/>
        </w:rPr>
      </w:r>
    </w:p>
    <w:p>
      <w:pPr>
        <w:pStyle w:val="Normal"/>
        <w:rPr>
          <w:b w:val="false"/>
          <w:sz w:val="24"/>
        </w:rPr>
      </w:pPr>
      <w:r>
        <w:rPr>
          <w:b w:val="false"/>
          <w:sz w:val="24"/>
        </w:rPr>
      </w:r>
    </w:p>
    <w:p>
      <w:pPr>
        <w:pStyle w:val="Normal"/>
        <w:jc w:val="both"/>
        <w:rPr>
          <w:b w:val="false"/>
          <w:sz w:val="24"/>
        </w:rPr>
      </w:pPr>
      <w:r>
        <w:rPr>
          <w:b w:val="false"/>
          <w:sz w:val="24"/>
        </w:rPr>
        <w:t>Estamos encaminhando a V.Ex.a. algumas sugestões no sentido de estabelecer condições adequadas para propiciar o aumento da oferta de energia elétrica a curto e médio prazo, mitigando assim o impacto da crise atual que o Brasil atravessa.</w:t>
      </w:r>
    </w:p>
    <w:p>
      <w:pPr>
        <w:pStyle w:val="Normal"/>
        <w:jc w:val="both"/>
        <w:rPr>
          <w:b w:val="false"/>
          <w:sz w:val="24"/>
        </w:rPr>
      </w:pPr>
      <w:r>
        <w:rPr>
          <w:b w:val="false"/>
          <w:sz w:val="24"/>
        </w:rPr>
      </w:r>
    </w:p>
    <w:p>
      <w:pPr>
        <w:pStyle w:val="Normal"/>
        <w:jc w:val="both"/>
        <w:rPr>
          <w:b w:val="false"/>
          <w:sz w:val="24"/>
        </w:rPr>
      </w:pPr>
      <w:r>
        <w:rPr>
          <w:b w:val="false"/>
          <w:sz w:val="24"/>
        </w:rPr>
        <w:t xml:space="preserve">Como é de conhecimento de V.Ex.a., o assunto “expansão do sistema”, em especial para plantas termelétricas a gás natural,  passa por uma análise detalhada de toda a “cadeia” contratual, do gás a eletricidade e finalmente no repasse de custos ao consumidor cativo. Acreditamos que as diversas associações e agentes envolvidos neste processo estarão encaminhando em breve soluções para o encaminhamento das questões críticas que permitirão a retomada do Plano Emergencial de Térmicas. </w:t>
      </w:r>
    </w:p>
    <w:p>
      <w:pPr>
        <w:pStyle w:val="Normal"/>
        <w:jc w:val="both"/>
        <w:rPr>
          <w:b w:val="false"/>
          <w:sz w:val="24"/>
        </w:rPr>
      </w:pPr>
      <w:r>
        <w:rPr>
          <w:b w:val="false"/>
          <w:sz w:val="24"/>
        </w:rPr>
      </w:r>
    </w:p>
    <w:p>
      <w:pPr>
        <w:pStyle w:val="Normal"/>
        <w:jc w:val="both"/>
        <w:rPr/>
      </w:pPr>
      <w:r>
        <w:rPr>
          <w:b w:val="false"/>
          <w:sz w:val="24"/>
        </w:rPr>
        <w:t xml:space="preserve">Sem querer desprezar a importância destas questões, gostaríamos de tecer comentários específicos sobre as condições necessárias ao funcionamento adequado de um mercado de energia, que incentive a contratação eficiente, que entendemos será condição </w:t>
      </w:r>
      <w:r>
        <w:rPr>
          <w:b w:val="false"/>
          <w:i/>
          <w:sz w:val="24"/>
        </w:rPr>
        <w:t>sine qua non</w:t>
      </w:r>
      <w:r>
        <w:rPr>
          <w:b w:val="false"/>
          <w:sz w:val="24"/>
        </w:rPr>
        <w:t xml:space="preserve"> à expansão do sistema. </w:t>
      </w:r>
    </w:p>
    <w:p>
      <w:pPr>
        <w:pStyle w:val="Normal"/>
        <w:jc w:val="both"/>
        <w:rPr>
          <w:b w:val="false"/>
          <w:sz w:val="24"/>
        </w:rPr>
      </w:pPr>
      <w:r>
        <w:rPr>
          <w:b w:val="false"/>
          <w:sz w:val="24"/>
        </w:rPr>
      </w:r>
    </w:p>
    <w:p>
      <w:pPr>
        <w:pStyle w:val="Normal"/>
        <w:jc w:val="both"/>
        <w:rPr>
          <w:b w:val="false"/>
          <w:sz w:val="24"/>
        </w:rPr>
      </w:pPr>
      <w:r>
        <w:rPr>
          <w:b w:val="false"/>
          <w:sz w:val="24"/>
        </w:rPr>
        <w:t>Por facilidade expositiva, estamos organizando nossas sugestões em três grandes grupos, a saber:</w:t>
      </w:r>
    </w:p>
    <w:p>
      <w:pPr>
        <w:pStyle w:val="Normal"/>
        <w:jc w:val="both"/>
        <w:rPr>
          <w:b w:val="false"/>
          <w:sz w:val="24"/>
        </w:rPr>
      </w:pPr>
      <w:r>
        <w:rPr>
          <w:b w:val="false"/>
          <w:sz w:val="24"/>
        </w:rPr>
      </w:r>
    </w:p>
    <w:p>
      <w:pPr>
        <w:pStyle w:val="Normal"/>
        <w:numPr>
          <w:ilvl w:val="0"/>
          <w:numId w:val="2"/>
        </w:numPr>
        <w:tabs>
          <w:tab w:val="clear" w:pos="720"/>
          <w:tab w:val="left" w:pos="1080" w:leader="none"/>
        </w:tabs>
        <w:ind w:hanging="360" w:start="1080" w:end="0"/>
        <w:jc w:val="both"/>
        <w:rPr>
          <w:b w:val="false"/>
          <w:sz w:val="24"/>
        </w:rPr>
      </w:pPr>
      <w:r>
        <w:rPr>
          <w:b w:val="false"/>
          <w:sz w:val="24"/>
        </w:rPr>
        <w:t>A “santidade” dos contratos, em especial do Anexo V</w:t>
      </w:r>
    </w:p>
    <w:p>
      <w:pPr>
        <w:pStyle w:val="Normal"/>
        <w:numPr>
          <w:ilvl w:val="0"/>
          <w:numId w:val="2"/>
        </w:numPr>
        <w:tabs>
          <w:tab w:val="clear" w:pos="720"/>
        </w:tabs>
        <w:ind w:hanging="360" w:start="1080" w:end="0"/>
        <w:jc w:val="both"/>
        <w:rPr>
          <w:b w:val="false"/>
          <w:sz w:val="24"/>
        </w:rPr>
      </w:pPr>
      <w:r>
        <w:rPr>
          <w:b w:val="false"/>
          <w:sz w:val="24"/>
        </w:rPr>
        <w:t>Fixação de “caps” no preço spot do Mercado Atacadista de Energia</w:t>
      </w:r>
    </w:p>
    <w:p>
      <w:pPr>
        <w:pStyle w:val="Normal"/>
        <w:numPr>
          <w:ilvl w:val="0"/>
          <w:numId w:val="2"/>
        </w:numPr>
        <w:tabs>
          <w:tab w:val="clear" w:pos="720"/>
        </w:tabs>
        <w:ind w:hanging="360" w:start="1080" w:end="0"/>
        <w:jc w:val="both"/>
        <w:rPr>
          <w:b w:val="false"/>
          <w:sz w:val="24"/>
        </w:rPr>
      </w:pPr>
      <w:r>
        <w:rPr>
          <w:b w:val="false"/>
          <w:sz w:val="24"/>
        </w:rPr>
        <w:t>Funcionamento do Mercado Atacadista de Energia</w:t>
      </w:r>
    </w:p>
    <w:p>
      <w:pPr>
        <w:pStyle w:val="Normal"/>
        <w:jc w:val="both"/>
        <w:rPr>
          <w:b w:val="false"/>
          <w:sz w:val="24"/>
        </w:rPr>
      </w:pPr>
      <w:r>
        <w:rPr>
          <w:b w:val="false"/>
          <w:sz w:val="24"/>
        </w:rPr>
      </w:r>
    </w:p>
    <w:p>
      <w:pPr>
        <w:pStyle w:val="Normal"/>
        <w:jc w:val="both"/>
        <w:rPr>
          <w:b w:val="false"/>
          <w:sz w:val="24"/>
        </w:rPr>
      </w:pPr>
      <w:r>
        <w:rPr>
          <w:b w:val="false"/>
          <w:sz w:val="24"/>
        </w:rPr>
      </w:r>
    </w:p>
    <w:p>
      <w:pPr>
        <w:pStyle w:val="Normal"/>
        <w:jc w:val="both"/>
        <w:rPr>
          <w:b w:val="false"/>
          <w:sz w:val="24"/>
        </w:rPr>
      </w:pPr>
      <w:r>
        <w:rPr>
          <w:b w:val="false"/>
          <w:sz w:val="24"/>
        </w:rPr>
      </w:r>
    </w:p>
    <w:p>
      <w:pPr>
        <w:pStyle w:val="Normal"/>
        <w:jc w:val="both"/>
        <w:rPr>
          <w:b w:val="false"/>
          <w:sz w:val="24"/>
        </w:rPr>
      </w:pPr>
      <w:r>
        <w:rPr>
          <w:b w:val="false"/>
          <w:sz w:val="24"/>
        </w:rPr>
      </w:r>
    </w:p>
    <w:p>
      <w:pPr>
        <w:pStyle w:val="Normal"/>
        <w:jc w:val="both"/>
        <w:rPr>
          <w:b w:val="false"/>
          <w:sz w:val="24"/>
        </w:rPr>
      </w:pPr>
      <w:r>
        <w:rPr>
          <w:b w:val="false"/>
          <w:sz w:val="24"/>
        </w:rPr>
        <w:t>Cada um destes pontos será descrito como segue:</w:t>
      </w:r>
    </w:p>
    <w:p>
      <w:pPr>
        <w:pStyle w:val="Normal"/>
        <w:jc w:val="both"/>
        <w:rPr>
          <w:b w:val="false"/>
          <w:sz w:val="24"/>
        </w:rPr>
      </w:pPr>
      <w:r>
        <w:rPr>
          <w:b w:val="false"/>
          <w:sz w:val="24"/>
        </w:rPr>
      </w:r>
    </w:p>
    <w:p>
      <w:pPr>
        <w:pStyle w:val="Normal"/>
        <w:jc w:val="both"/>
        <w:rPr>
          <w:b w:val="false"/>
          <w:sz w:val="24"/>
          <w:u w:val="single"/>
        </w:rPr>
      </w:pPr>
      <w:r>
        <w:rPr>
          <w:b w:val="false"/>
          <w:sz w:val="24"/>
          <w:u w:val="single"/>
        </w:rPr>
        <w:t>A “santidade” dos contratos, em especial do Anexo V</w:t>
      </w:r>
    </w:p>
    <w:p>
      <w:pPr>
        <w:pStyle w:val="Normal"/>
        <w:jc w:val="both"/>
        <w:rPr>
          <w:b w:val="false"/>
          <w:sz w:val="24"/>
          <w:u w:val="single"/>
        </w:rPr>
      </w:pPr>
      <w:r>
        <w:rPr>
          <w:b w:val="false"/>
          <w:sz w:val="24"/>
          <w:u w:val="single"/>
        </w:rPr>
      </w:r>
    </w:p>
    <w:p>
      <w:pPr>
        <w:pStyle w:val="Normal"/>
        <w:jc w:val="both"/>
        <w:rPr>
          <w:b w:val="false"/>
          <w:sz w:val="24"/>
        </w:rPr>
      </w:pPr>
      <w:r>
        <w:rPr>
          <w:b w:val="false"/>
          <w:sz w:val="24"/>
        </w:rPr>
        <w:t>O contrato é uma pedra basilar do novo modelo do setor elétrico brasileiro. É o instrumento através do qual as partes alocam e estabelecem os preços dos diversos riscos, inclusive os de variabilidade do preço spot. É via o contrato de energia que repousa a desejada concorrência no setor elétrico. É o suporte para expansão do setor elétrico: o contrato precede, e em muitas vezes é condição precedente para a expansão do sistema, e o que assegura sua financiabilidade.</w:t>
      </w:r>
    </w:p>
    <w:p>
      <w:pPr>
        <w:pStyle w:val="Normal"/>
        <w:jc w:val="both"/>
        <w:rPr>
          <w:b w:val="false"/>
          <w:sz w:val="24"/>
        </w:rPr>
      </w:pPr>
      <w:r>
        <w:rPr>
          <w:b w:val="false"/>
          <w:sz w:val="24"/>
        </w:rPr>
      </w:r>
    </w:p>
    <w:p>
      <w:pPr>
        <w:pStyle w:val="Normal"/>
        <w:jc w:val="both"/>
        <w:rPr>
          <w:b w:val="false"/>
          <w:sz w:val="24"/>
        </w:rPr>
      </w:pPr>
      <w:r>
        <w:rPr>
          <w:b w:val="false"/>
          <w:sz w:val="24"/>
        </w:rPr>
        <w:t>Os Contratos Iniciais, desenhados para servir de transição entre o antigo e o novo modelo do setor elétrico são, a despeito de seu caráter “regulado”, instrumentos jurídicos tão perfeitos quanto quaisquer outros contratos livremente negociados. O Anexo V é uma parte integrante dos Contratos Iniciais e estabelece como devem ser reduzidos os volumes contratados entre geradores e distribuidores no caso de racionamento de energia.</w:t>
      </w:r>
    </w:p>
    <w:p>
      <w:pPr>
        <w:pStyle w:val="Normal"/>
        <w:jc w:val="both"/>
        <w:rPr>
          <w:b w:val="false"/>
          <w:sz w:val="24"/>
        </w:rPr>
      </w:pPr>
      <w:r>
        <w:rPr>
          <w:b w:val="false"/>
          <w:sz w:val="24"/>
        </w:rPr>
      </w:r>
    </w:p>
    <w:p>
      <w:pPr>
        <w:pStyle w:val="Normal"/>
        <w:jc w:val="both"/>
        <w:rPr>
          <w:b w:val="false"/>
          <w:sz w:val="24"/>
        </w:rPr>
      </w:pPr>
      <w:r>
        <w:rPr>
          <w:b w:val="false"/>
          <w:sz w:val="24"/>
        </w:rPr>
        <w:t xml:space="preserve">Estamos assistindo, com perplexidade, discussões no âmbito do Sub-Grupo de Mercado da CGE, sugerindo que se modifique o disposto do Anexo V, e que se busque uma nova alocação de riscos entre geradores e distribuidoras. Isto porque, alegam as empresas geradoras, os prejuízos advindos de um racionamento poderiam causar grandes desequilíbrios econômico financeiros. </w:t>
      </w:r>
    </w:p>
    <w:p>
      <w:pPr>
        <w:pStyle w:val="Normal"/>
        <w:jc w:val="both"/>
        <w:rPr>
          <w:b w:val="false"/>
          <w:sz w:val="24"/>
        </w:rPr>
      </w:pPr>
      <w:r>
        <w:rPr>
          <w:b w:val="false"/>
          <w:sz w:val="24"/>
        </w:rPr>
      </w:r>
    </w:p>
    <w:p>
      <w:pPr>
        <w:pStyle w:val="Normal"/>
        <w:jc w:val="both"/>
        <w:rPr>
          <w:b w:val="false"/>
          <w:sz w:val="24"/>
        </w:rPr>
      </w:pPr>
      <w:r>
        <w:rPr>
          <w:b w:val="false"/>
          <w:sz w:val="24"/>
        </w:rPr>
        <w:t xml:space="preserve">Entendemos que algumas soluções expeditas sendo propostas, algumas de suspensão imediata do Anexo V, em muito refletem a falta de cultura do setor elétrico brasileiro de respeito aos contratos. Até 1993 inexistiam instrumentos contratuais para compra e venda de energia no atacado: riscos, ganhos e prejuízos eram sempre socializados através de um processo orquestrado pelo grupo GCOI, da Eletrobrás. </w:t>
      </w:r>
    </w:p>
    <w:p>
      <w:pPr>
        <w:pStyle w:val="Normal"/>
        <w:jc w:val="both"/>
        <w:rPr>
          <w:b w:val="false"/>
          <w:sz w:val="24"/>
        </w:rPr>
      </w:pPr>
      <w:r>
        <w:rPr>
          <w:b w:val="false"/>
          <w:sz w:val="24"/>
        </w:rPr>
      </w:r>
    </w:p>
    <w:p>
      <w:pPr>
        <w:pStyle w:val="Normal"/>
        <w:jc w:val="both"/>
        <w:rPr>
          <w:b w:val="false"/>
          <w:sz w:val="24"/>
        </w:rPr>
      </w:pPr>
      <w:r>
        <w:rPr>
          <w:b w:val="false"/>
          <w:sz w:val="24"/>
        </w:rPr>
        <w:t>O setor mudou, mas a cultura prevalece. Esta cultura é extremamente prejudicial para a expansão do setor elétrico. O investidor requer regras claras e solidez contratual: é o que estamos denominando “santidade” do contrato.</w:t>
      </w:r>
    </w:p>
    <w:p>
      <w:pPr>
        <w:pStyle w:val="Normal"/>
        <w:jc w:val="both"/>
        <w:rPr>
          <w:b w:val="false"/>
          <w:sz w:val="24"/>
        </w:rPr>
      </w:pPr>
      <w:r>
        <w:rPr>
          <w:b w:val="false"/>
          <w:sz w:val="24"/>
        </w:rPr>
      </w:r>
    </w:p>
    <w:p>
      <w:pPr>
        <w:pStyle w:val="Normal"/>
        <w:jc w:val="both"/>
        <w:rPr>
          <w:b w:val="false"/>
          <w:sz w:val="24"/>
        </w:rPr>
      </w:pPr>
      <w:r>
        <w:rPr>
          <w:b w:val="false"/>
          <w:sz w:val="24"/>
        </w:rPr>
        <w:t>Alterar o Anexo V, evocando uma situação de racionamento, é uma ruptura clara das cláusulas contratuais. Isto porque o Anexo V trata justamente desta situação, tendo sido desenhado pelas próprias empresas geradoras em 1998, quando da feitura dos Contratos Iniciais. Estabelece que os volumes contratuais se reduzem como uma função do preço spot. Nas discussões iniciais, este dispositivo era denominado cláusula de “alívio de período seco”.</w:t>
      </w:r>
    </w:p>
    <w:p>
      <w:pPr>
        <w:pStyle w:val="Normal"/>
        <w:jc w:val="both"/>
        <w:rPr>
          <w:b w:val="false"/>
          <w:sz w:val="24"/>
        </w:rPr>
      </w:pPr>
      <w:r>
        <w:rPr>
          <w:b w:val="false"/>
          <w:sz w:val="24"/>
        </w:rPr>
      </w:r>
    </w:p>
    <w:p>
      <w:pPr>
        <w:pStyle w:val="Normal"/>
        <w:jc w:val="both"/>
        <w:rPr>
          <w:b w:val="false"/>
          <w:sz w:val="24"/>
        </w:rPr>
      </w:pPr>
      <w:r>
        <w:rPr>
          <w:b w:val="false"/>
          <w:sz w:val="24"/>
        </w:rPr>
        <w:t>De 1998 até a presente data, o Contrato, as regras de preço e o custo de déficit estão aderentes às regras colocadas há três anos atrás: não houve qualquer fato novo que justificasse uma alteração dos Contratos. Inclusive, três grandes empresas geradoras foram privatizadas e seus preços estabelecidos em função da existência do Anexo V. Uma alteração unilateral poderia caracterizar um “windfall profit” para as empresas privatizadas, o que poderia suscitar questionamentos jurídicos do Ministério Público.</w:t>
      </w:r>
    </w:p>
    <w:p>
      <w:pPr>
        <w:pStyle w:val="Normal"/>
        <w:jc w:val="both"/>
        <w:rPr>
          <w:b w:val="false"/>
          <w:sz w:val="24"/>
        </w:rPr>
      </w:pPr>
      <w:r>
        <w:rPr>
          <w:b w:val="false"/>
          <w:sz w:val="24"/>
        </w:rPr>
      </w:r>
    </w:p>
    <w:p>
      <w:pPr>
        <w:pStyle w:val="Normal"/>
        <w:jc w:val="both"/>
        <w:rPr>
          <w:b w:val="false"/>
          <w:sz w:val="24"/>
        </w:rPr>
      </w:pPr>
      <w:r>
        <w:rPr>
          <w:b w:val="false"/>
          <w:sz w:val="24"/>
        </w:rPr>
        <w:t>Somos sensíveis a um possível desequilíbrio econômico financeiro das empresas geradoras. Sugerimos que a CGE solicite análises detalhadas e examine a situação alegada. Caso se demonstre a gravidade da situação, a ponto de colocar em risco a viabilidade econômica de uma ou mais geradoras, que se dê um tratamento especial via um incremento das tarifas de suprimento, ressaltando o caráter excepcional da ação governamental.</w:t>
      </w:r>
    </w:p>
    <w:p>
      <w:pPr>
        <w:pStyle w:val="Normal"/>
        <w:jc w:val="both"/>
        <w:rPr>
          <w:b w:val="false"/>
          <w:sz w:val="24"/>
        </w:rPr>
      </w:pPr>
      <w:r>
        <w:rPr>
          <w:b w:val="false"/>
          <w:sz w:val="24"/>
        </w:rPr>
      </w:r>
    </w:p>
    <w:p>
      <w:pPr>
        <w:pStyle w:val="Normal"/>
        <w:jc w:val="both"/>
        <w:rPr>
          <w:b w:val="false"/>
          <w:sz w:val="24"/>
        </w:rPr>
      </w:pPr>
      <w:r>
        <w:rPr>
          <w:b w:val="false"/>
          <w:sz w:val="24"/>
        </w:rPr>
        <w:t xml:space="preserve">Não concordamos com algumas das justificativas sendo postuladas, de que a alteração no Anexo V visa evitar o fenômeno Califórnia. Em realidade, a situação é oposta. Na Califórnia, agentes foram literalmente proibidos de celebrar contratos de longo prazo, os quais funcionariam como uma espécie de “hedge” contra a volatilidade do preço spot. Um aumento súbito no preço spot o qual não pode ser repassado ao cliente final acabou gerando um déficit financeiro de quase U$ 13 bilhões em apenas duas grandes empresas concessionárias. Cabe aí uma recuperação dos prejuízos causados por uma política regulatória insana. No Brasil, o sinal regulatório era exatamente o oposto, havendo um incentivo forte à contratação. Não há porque “resgatar” empresas que, conscientes, assumiram o risco residual do Anexo V, e que nada fizeram em termos de contratação ou nova expansão para poder mitigá-lo. </w:t>
      </w:r>
    </w:p>
    <w:p>
      <w:pPr>
        <w:pStyle w:val="Normal"/>
        <w:jc w:val="both"/>
        <w:rPr>
          <w:b w:val="false"/>
          <w:sz w:val="24"/>
        </w:rPr>
      </w:pPr>
      <w:r>
        <w:rPr>
          <w:b w:val="false"/>
          <w:sz w:val="24"/>
        </w:rPr>
      </w:r>
    </w:p>
    <w:p>
      <w:pPr>
        <w:pStyle w:val="Normal"/>
        <w:jc w:val="both"/>
        <w:rPr>
          <w:b w:val="false"/>
          <w:sz w:val="24"/>
        </w:rPr>
      </w:pPr>
      <w:r>
        <w:rPr>
          <w:b w:val="false"/>
          <w:sz w:val="24"/>
        </w:rPr>
        <w:t>Em suma, somos frontalmente contrários à qualquer alteração de contratos que não esteja respaldada em fenômenos imprevisíveis ou de força maior. Nenhum destes parece ser o caso do racionamento, o qual já estava claramente disposto no Anexo V dos Contratos Iniciais. Mudar contratos cria uma percepção de intranqüilidade e gera, para o futuro, um clima de contratação irresponsável: empresas concessionárias estarão dispostas a correr um risco sempre maior do que o indicado pelas melhores práticas, haja vista a possibilidade de que as mesmas possam vir a ser “resgatadas” em caso de insolvência causada por excessiva exposição ao mercado.</w:t>
      </w:r>
    </w:p>
    <w:p>
      <w:pPr>
        <w:pStyle w:val="Normal"/>
        <w:jc w:val="both"/>
        <w:rPr>
          <w:b w:val="false"/>
          <w:sz w:val="24"/>
        </w:rPr>
      </w:pPr>
      <w:r>
        <w:rPr>
          <w:b w:val="false"/>
          <w:sz w:val="24"/>
        </w:rPr>
      </w:r>
    </w:p>
    <w:p>
      <w:pPr>
        <w:pStyle w:val="Normal"/>
        <w:jc w:val="both"/>
        <w:rPr>
          <w:b w:val="false"/>
          <w:sz w:val="24"/>
        </w:rPr>
      </w:pPr>
      <w:r>
        <w:rPr>
          <w:b w:val="false"/>
          <w:sz w:val="24"/>
        </w:rPr>
      </w:r>
    </w:p>
    <w:p>
      <w:pPr>
        <w:pStyle w:val="Normal"/>
        <w:jc w:val="both"/>
        <w:rPr>
          <w:b w:val="false"/>
          <w:sz w:val="24"/>
        </w:rPr>
      </w:pPr>
      <w:r>
        <w:rPr>
          <w:b w:val="false"/>
          <w:sz w:val="24"/>
        </w:rPr>
        <w:t>2) Fixação de “caps” no preço spot do Mercado Atacadista de Energia</w:t>
      </w:r>
    </w:p>
    <w:p>
      <w:pPr>
        <w:pStyle w:val="Normal"/>
        <w:jc w:val="both"/>
        <w:rPr>
          <w:b w:val="false"/>
          <w:sz w:val="24"/>
        </w:rPr>
      </w:pPr>
      <w:r>
        <w:rPr>
          <w:b w:val="false"/>
          <w:sz w:val="24"/>
        </w:rPr>
      </w:r>
    </w:p>
    <w:p>
      <w:pPr>
        <w:pStyle w:val="Normal"/>
        <w:jc w:val="both"/>
        <w:rPr>
          <w:b w:val="false"/>
          <w:sz w:val="24"/>
        </w:rPr>
      </w:pPr>
      <w:r>
        <w:rPr>
          <w:b w:val="false"/>
          <w:sz w:val="24"/>
        </w:rPr>
        <w:t>A fixação de um “cap” no preço spot do MAE é mais uma das medidas sendo discutidas, a qual consideramos extremamente inoportuna e danosa à expansão e ao êxito do programa de racionamento.</w:t>
      </w:r>
    </w:p>
    <w:p>
      <w:pPr>
        <w:pStyle w:val="Normal"/>
        <w:jc w:val="both"/>
        <w:rPr>
          <w:b w:val="false"/>
          <w:sz w:val="24"/>
        </w:rPr>
      </w:pPr>
      <w:r>
        <w:rPr>
          <w:b w:val="false"/>
          <w:sz w:val="24"/>
        </w:rPr>
      </w:r>
    </w:p>
    <w:p>
      <w:pPr>
        <w:pStyle w:val="Normal"/>
        <w:jc w:val="both"/>
        <w:rPr>
          <w:b w:val="false"/>
          <w:sz w:val="24"/>
        </w:rPr>
      </w:pPr>
      <w:r>
        <w:rPr>
          <w:b w:val="false"/>
          <w:sz w:val="24"/>
        </w:rPr>
        <w:t xml:space="preserve">A medida visa, em última análise, evitar exposições financeiras àqueles agentes compradores no Mercado Atacadista de Energia, os quais deveriam liquidar suas posições a um preço de R$ 684/MWh. Este representa o preço esperado da energia no MAE, durante o período de racionamento. Este valor equivale ao assim chamado “custo do déficit”, o qual representa, segundo o modelo de estabelecimento de preços atual, o máximo que os consumidores estariam dispostos a pagar. Serve, por corolário, como um “cap” implícito do preço do MAE. </w:t>
      </w:r>
    </w:p>
    <w:p>
      <w:pPr>
        <w:pStyle w:val="Normal"/>
        <w:jc w:val="both"/>
        <w:rPr>
          <w:b w:val="false"/>
          <w:sz w:val="24"/>
        </w:rPr>
      </w:pPr>
      <w:r>
        <w:rPr>
          <w:b w:val="false"/>
          <w:sz w:val="24"/>
        </w:rPr>
      </w:r>
    </w:p>
    <w:p>
      <w:pPr>
        <w:pStyle w:val="Normal"/>
        <w:jc w:val="both"/>
        <w:rPr>
          <w:b w:val="false"/>
          <w:sz w:val="24"/>
        </w:rPr>
      </w:pPr>
      <w:r>
        <w:rPr>
          <w:b w:val="false"/>
          <w:sz w:val="24"/>
        </w:rPr>
        <w:t>Fixar um novo “cap” a um valor inferior ao custo de déficit, é uma violação de regras de mercado, visando beneficiar àqueles agentes que se sub-contrataram. A medida virá em detrimento daqueles agentes que se contrataram prudentemente. Trata-se pois de um incentivo perverso, beneficiando àqueles que ao se sub-contratarem não favoreceram a expansão do sistema.</w:t>
      </w:r>
    </w:p>
    <w:p>
      <w:pPr>
        <w:pStyle w:val="Normal"/>
        <w:jc w:val="both"/>
        <w:rPr>
          <w:b w:val="false"/>
          <w:sz w:val="24"/>
        </w:rPr>
      </w:pPr>
      <w:r>
        <w:rPr>
          <w:b w:val="false"/>
          <w:sz w:val="24"/>
        </w:rPr>
      </w:r>
    </w:p>
    <w:p>
      <w:pPr>
        <w:pStyle w:val="Normal"/>
        <w:jc w:val="both"/>
        <w:rPr>
          <w:b w:val="false"/>
          <w:sz w:val="24"/>
        </w:rPr>
      </w:pPr>
      <w:r>
        <w:rPr>
          <w:b w:val="false"/>
          <w:sz w:val="24"/>
        </w:rPr>
        <w:t>Pior que isto, a fixação de um “cap” inferior ao custo do déficit dá uma sinalização perversa à nova expansão, seja ela advinda de plantas termelétricas, co-geração ou mesmo geração de back-up interessada em investir no sistema e cuja viabilidade depende do sinal adequado de preço.</w:t>
      </w:r>
    </w:p>
    <w:p>
      <w:pPr>
        <w:pStyle w:val="Normal"/>
        <w:jc w:val="both"/>
        <w:rPr>
          <w:b w:val="false"/>
          <w:sz w:val="24"/>
        </w:rPr>
      </w:pPr>
      <w:r>
        <w:rPr>
          <w:b w:val="false"/>
          <w:sz w:val="24"/>
        </w:rPr>
      </w:r>
    </w:p>
    <w:p>
      <w:pPr>
        <w:pStyle w:val="Normal"/>
        <w:jc w:val="both"/>
        <w:rPr>
          <w:b w:val="false"/>
          <w:sz w:val="24"/>
        </w:rPr>
      </w:pPr>
      <w:r>
        <w:rPr>
          <w:b w:val="false"/>
          <w:sz w:val="24"/>
        </w:rPr>
        <w:t>Ademais, todo o plano de quotas foi “montado” com base em sinais econômicos gerados pelo MAE. Esta é, a nosso ver, a forma correta e que foi escolhida pelo governo. Alterar o preço spot é correr um risco demasiado de que as metas de redução de demanda previstas no plano não virão a se materializar: isto porque vários consumidores estarão dispostos a pagar o preço de energia entre o cap e o custo de déficit; analogamente, menos consumidores estarão dispostos a vender sua quota se o preço do spot estiver a um patamar inferior a R$ 684. A redução almejada de 20% dificilmente será atingida. É preciso que o plano de racionamento e as medidas sendo tomadas no âmbito do MAE estejam perfeitamente “casadas”.</w:t>
      </w:r>
    </w:p>
    <w:p>
      <w:pPr>
        <w:pStyle w:val="Normal"/>
        <w:jc w:val="both"/>
        <w:rPr>
          <w:b w:val="false"/>
          <w:sz w:val="24"/>
        </w:rPr>
      </w:pPr>
      <w:r>
        <w:rPr>
          <w:b w:val="false"/>
          <w:sz w:val="24"/>
        </w:rPr>
      </w:r>
    </w:p>
    <w:p>
      <w:pPr>
        <w:pStyle w:val="Normal"/>
        <w:jc w:val="both"/>
        <w:rPr>
          <w:b w:val="false"/>
          <w:sz w:val="24"/>
        </w:rPr>
      </w:pPr>
      <w:r>
        <w:rPr>
          <w:b w:val="false"/>
          <w:sz w:val="24"/>
        </w:rPr>
        <w:t>É importante que a CGE tenha em mente que sinais econômicos e a premissa “ninguém ganha, ninguém perde”, são contradições em si mesmas. O sinal econômico, seja ele superposto à cota, seja ele indutor de novos investimentos, foi colocado justamente para frear a demanda e incentivar o consumo. Quem economizar ou gerar ganha; quem não economizar ou tiver exposições contratuais perde. Recomendamos muito cuidado no uso de premissas ou clichês que nada tem a ver com a realidade econômica sendo hoje vivenciada pelo setor elétrico, o qual enfrenta um desafio monumental de alocação adequada de um recurso escasso.</w:t>
      </w:r>
    </w:p>
    <w:p>
      <w:pPr>
        <w:pStyle w:val="Normal"/>
        <w:jc w:val="both"/>
        <w:rPr>
          <w:b w:val="false"/>
          <w:sz w:val="24"/>
        </w:rPr>
      </w:pPr>
      <w:r>
        <w:rPr>
          <w:b w:val="false"/>
          <w:sz w:val="24"/>
        </w:rPr>
      </w:r>
    </w:p>
    <w:p>
      <w:pPr>
        <w:pStyle w:val="Normal"/>
        <w:jc w:val="both"/>
        <w:rPr>
          <w:b w:val="false"/>
          <w:sz w:val="24"/>
        </w:rPr>
      </w:pPr>
      <w:r>
        <w:rPr>
          <w:b w:val="false"/>
          <w:sz w:val="24"/>
        </w:rPr>
        <w:t>Mais uma vez, a alegação de que a Califórnia fixou um “cap” durante a crise não serve como exemplo para o Brasil. O suporte da FERC (Federal Energy Regulatory Comission) ao estabelecimento de um cap se deve à uma suspeita de “manipulação”  do preço spot causada por regras de mercado deficientes, que estimulavam tal comportamento. No caso brasileiro o preço de R$ 684 reflete a escassez da energia. Pelo contrário: há evidências de que esta valor está demasiadamente baixo, e deveria ser corrigido para algo próximo a R$ 2.300/MWh. Obviamente que esta mudança poderia ser percebida como uma alteração das regras, ainda que provesse um sinal de preço mais adequado. Por que então fixar um cap implícito no preço do MAE, gerando a mesma percepção de mudança e ainda na direção técnicamente errônea?</w:t>
      </w:r>
    </w:p>
    <w:p>
      <w:pPr>
        <w:pStyle w:val="Normal"/>
        <w:jc w:val="both"/>
        <w:rPr>
          <w:b w:val="false"/>
          <w:sz w:val="24"/>
        </w:rPr>
      </w:pPr>
      <w:r>
        <w:rPr>
          <w:b w:val="false"/>
          <w:sz w:val="24"/>
        </w:rPr>
      </w:r>
    </w:p>
    <w:p>
      <w:pPr>
        <w:pStyle w:val="Normal"/>
        <w:jc w:val="both"/>
        <w:rPr>
          <w:b w:val="false"/>
          <w:sz w:val="24"/>
        </w:rPr>
      </w:pPr>
      <w:r>
        <w:rPr>
          <w:b w:val="false"/>
          <w:sz w:val="24"/>
        </w:rPr>
        <w:t xml:space="preserve">Em suma, fixar um preço no spot, para mitigar o impacto em agentes sub-contratados é uma medida inoportuna, a qual, repetimos, irá agravar a crise do racionamento e desestimular uma gama de investimentos em nova geração. </w:t>
      </w:r>
    </w:p>
    <w:p>
      <w:pPr>
        <w:pStyle w:val="Normal"/>
        <w:jc w:val="both"/>
        <w:rPr>
          <w:b w:val="false"/>
          <w:sz w:val="24"/>
        </w:rPr>
      </w:pPr>
      <w:r>
        <w:rPr>
          <w:b w:val="false"/>
          <w:sz w:val="24"/>
        </w:rPr>
      </w:r>
    </w:p>
    <w:p>
      <w:pPr>
        <w:pStyle w:val="Normal"/>
        <w:jc w:val="both"/>
        <w:rPr>
          <w:b w:val="false"/>
          <w:sz w:val="24"/>
        </w:rPr>
      </w:pPr>
      <w:r>
        <w:rPr>
          <w:b w:val="false"/>
          <w:sz w:val="24"/>
        </w:rPr>
      </w:r>
    </w:p>
    <w:p>
      <w:pPr>
        <w:pStyle w:val="Normal"/>
        <w:jc w:val="both"/>
        <w:rPr>
          <w:b w:val="false"/>
          <w:sz w:val="24"/>
        </w:rPr>
      </w:pPr>
      <w:r>
        <w:rPr>
          <w:b w:val="false"/>
          <w:sz w:val="24"/>
        </w:rPr>
        <w:t>3) O funcionamento do Mercado Atacadista de Energia</w:t>
      </w:r>
    </w:p>
    <w:p>
      <w:pPr>
        <w:pStyle w:val="Normal"/>
        <w:jc w:val="both"/>
        <w:rPr>
          <w:b w:val="false"/>
          <w:sz w:val="24"/>
        </w:rPr>
      </w:pPr>
      <w:r>
        <w:rPr>
          <w:b w:val="false"/>
          <w:sz w:val="24"/>
        </w:rPr>
      </w:r>
    </w:p>
    <w:p>
      <w:pPr>
        <w:pStyle w:val="Normal"/>
        <w:jc w:val="both"/>
        <w:rPr>
          <w:b w:val="false"/>
          <w:sz w:val="24"/>
        </w:rPr>
      </w:pPr>
      <w:r>
        <w:rPr>
          <w:b w:val="false"/>
          <w:sz w:val="24"/>
        </w:rPr>
        <w:t>O Mercado Atacadista de Energia (MAE) é uma peça fundamental do novo setor elétrico brasileiro. Ele é que propicia um ambiente de liquidação dos contratos e de sinalização quanto ao preço da energia elétrica. O MAE se torna particularmente importante neste momento, para o fomento de nova geração bem como como ambiente de comercialização de cotas. Passa pois a ter um papel preponderante para o próprio exito do programa de racionamento e para a mitigação de seus impactos.</w:t>
      </w:r>
    </w:p>
    <w:p>
      <w:pPr>
        <w:pStyle w:val="Normal"/>
        <w:jc w:val="both"/>
        <w:rPr>
          <w:b w:val="false"/>
          <w:sz w:val="24"/>
        </w:rPr>
      </w:pPr>
      <w:r>
        <w:rPr>
          <w:b w:val="false"/>
          <w:sz w:val="24"/>
        </w:rPr>
      </w:r>
    </w:p>
    <w:p>
      <w:pPr>
        <w:pStyle w:val="Normal"/>
        <w:jc w:val="both"/>
        <w:rPr>
          <w:b w:val="false"/>
          <w:sz w:val="24"/>
        </w:rPr>
      </w:pPr>
      <w:r>
        <w:rPr>
          <w:b w:val="false"/>
          <w:sz w:val="24"/>
        </w:rPr>
        <w:t xml:space="preserve">Infelizmente, por uma série de razões que fogem ao escopo deste documento, a implementação do MAE vem sofrendo atrasos sucessivos. Inicialmente previsto para pleno funcionamento em janeiro de 2000, teve sua inauguração em setembro do mesmo ano. Entretanto, desde aquela data, não houve uma liquidação financeira sequer. </w:t>
      </w:r>
    </w:p>
    <w:p>
      <w:pPr>
        <w:pStyle w:val="Normal"/>
        <w:jc w:val="both"/>
        <w:rPr>
          <w:b w:val="false"/>
          <w:sz w:val="24"/>
        </w:rPr>
      </w:pPr>
      <w:r>
        <w:rPr>
          <w:b w:val="false"/>
          <w:sz w:val="24"/>
        </w:rPr>
      </w:r>
    </w:p>
    <w:p>
      <w:pPr>
        <w:pStyle w:val="Normal"/>
        <w:jc w:val="both"/>
        <w:rPr>
          <w:b w:val="false"/>
          <w:sz w:val="24"/>
        </w:rPr>
      </w:pPr>
      <w:r>
        <w:rPr>
          <w:b w:val="false"/>
          <w:sz w:val="24"/>
        </w:rPr>
        <w:t>O MAE foi prejudicado por disputas de natureza contratual (sendo a da energia de Angra II a mais importante) e por questões de uma fraca “governança”. A este respeito, encaminhamos nosso ponto de vista, expresso em novembro de 2000, através de nosso Informativo Regulatório # 3, o qual acreditamos ser de seu conhecimento.</w:t>
      </w:r>
    </w:p>
    <w:p>
      <w:pPr>
        <w:pStyle w:val="Normal"/>
        <w:jc w:val="both"/>
        <w:rPr>
          <w:b w:val="false"/>
          <w:sz w:val="24"/>
        </w:rPr>
      </w:pPr>
      <w:r>
        <w:rPr>
          <w:b w:val="false"/>
          <w:sz w:val="24"/>
        </w:rPr>
      </w:r>
    </w:p>
    <w:p>
      <w:pPr>
        <w:pStyle w:val="Normal"/>
        <w:jc w:val="both"/>
        <w:rPr>
          <w:b w:val="false"/>
          <w:sz w:val="24"/>
        </w:rPr>
      </w:pPr>
      <w:r>
        <w:rPr>
          <w:b w:val="false"/>
          <w:sz w:val="24"/>
        </w:rPr>
        <w:t>Para corrigir as falhas de uma governança deficiente, a ANEEL, há cerca de um mês atrás, emitiu uma série de atos normativos (Resoluções 160/161/162) extinguindo o COEX e estabelecendo mecanismos de garantia e liquidação mínimos para propiciar o funcionamento do mercado.</w:t>
      </w:r>
    </w:p>
    <w:p>
      <w:pPr>
        <w:pStyle w:val="Normal"/>
        <w:jc w:val="both"/>
        <w:rPr>
          <w:b w:val="false"/>
          <w:sz w:val="24"/>
        </w:rPr>
      </w:pPr>
      <w:r>
        <w:rPr>
          <w:b w:val="false"/>
          <w:sz w:val="24"/>
        </w:rPr>
      </w:r>
    </w:p>
    <w:p>
      <w:pPr>
        <w:pStyle w:val="Normal"/>
        <w:jc w:val="both"/>
        <w:rPr>
          <w:b w:val="false"/>
          <w:sz w:val="24"/>
        </w:rPr>
      </w:pPr>
      <w:r>
        <w:rPr>
          <w:b w:val="false"/>
          <w:sz w:val="24"/>
        </w:rPr>
        <w:t>As medidas causaram reação adversa das empresas por entenderem ser uma intervenção indevida. Entendemos que a alegada “intervenção” foi um mal necessário..</w:t>
      </w:r>
    </w:p>
    <w:p>
      <w:pPr>
        <w:pStyle w:val="Normal"/>
        <w:jc w:val="both"/>
        <w:rPr>
          <w:b w:val="false"/>
          <w:sz w:val="24"/>
        </w:rPr>
      </w:pPr>
      <w:r>
        <w:rPr>
          <w:b w:val="false"/>
          <w:sz w:val="24"/>
        </w:rPr>
      </w:r>
    </w:p>
    <w:p>
      <w:pPr>
        <w:pStyle w:val="Normal"/>
        <w:jc w:val="both"/>
        <w:rPr>
          <w:b w:val="false"/>
          <w:sz w:val="24"/>
        </w:rPr>
      </w:pPr>
      <w:r>
        <w:rPr>
          <w:b w:val="false"/>
          <w:sz w:val="24"/>
        </w:rPr>
        <w:t xml:space="preserve">Infelizmente, a crise do racionamento atrasou o andamento dos trabalhos de desenho de um novo MAE. Sugerimos portanto a V.Sa. que retome e lidere estes trabalhos. </w:t>
      </w:r>
    </w:p>
    <w:p>
      <w:pPr>
        <w:pStyle w:val="Normal"/>
        <w:jc w:val="both"/>
        <w:rPr>
          <w:b w:val="false"/>
          <w:sz w:val="24"/>
        </w:rPr>
      </w:pPr>
      <w:r>
        <w:rPr>
          <w:b w:val="false"/>
          <w:sz w:val="24"/>
        </w:rPr>
      </w:r>
    </w:p>
    <w:p>
      <w:pPr>
        <w:pStyle w:val="Normal"/>
        <w:jc w:val="both"/>
        <w:rPr>
          <w:b w:val="false"/>
          <w:sz w:val="24"/>
        </w:rPr>
      </w:pPr>
      <w:r>
        <w:rPr>
          <w:b w:val="false"/>
          <w:sz w:val="24"/>
        </w:rPr>
        <w:t>Acreditamos serem pontos vitais para o bom funcionamento do MAE:</w:t>
      </w:r>
    </w:p>
    <w:p>
      <w:pPr>
        <w:pStyle w:val="Normal"/>
        <w:jc w:val="both"/>
        <w:rPr>
          <w:b w:val="false"/>
          <w:sz w:val="24"/>
        </w:rPr>
      </w:pPr>
      <w:r>
        <w:rPr>
          <w:b w:val="false"/>
          <w:sz w:val="24"/>
        </w:rPr>
      </w:r>
    </w:p>
    <w:p>
      <w:pPr>
        <w:pStyle w:val="Normal"/>
        <w:numPr>
          <w:ilvl w:val="0"/>
          <w:numId w:val="3"/>
        </w:numPr>
        <w:tabs>
          <w:tab w:val="left" w:pos="720" w:leader="none"/>
        </w:tabs>
        <w:ind w:hanging="360" w:start="720" w:end="0"/>
        <w:jc w:val="both"/>
        <w:rPr>
          <w:b w:val="false"/>
          <w:sz w:val="24"/>
        </w:rPr>
      </w:pPr>
      <w:r>
        <w:rPr>
          <w:b w:val="false"/>
          <w:sz w:val="24"/>
        </w:rPr>
        <w:t>Solução para a dívida de Angra II</w:t>
      </w:r>
    </w:p>
    <w:p>
      <w:pPr>
        <w:pStyle w:val="Normal"/>
        <w:numPr>
          <w:ilvl w:val="0"/>
          <w:numId w:val="3"/>
        </w:numPr>
        <w:tabs>
          <w:tab w:val="left" w:pos="720" w:leader="none"/>
        </w:tabs>
        <w:ind w:hanging="360" w:start="720" w:end="0"/>
        <w:jc w:val="both"/>
        <w:rPr>
          <w:b w:val="false"/>
          <w:sz w:val="24"/>
        </w:rPr>
      </w:pPr>
      <w:r>
        <w:rPr>
          <w:b w:val="false"/>
          <w:sz w:val="24"/>
        </w:rPr>
        <w:t>Governança</w:t>
      </w:r>
    </w:p>
    <w:p>
      <w:pPr>
        <w:pStyle w:val="Normal"/>
        <w:numPr>
          <w:ilvl w:val="0"/>
          <w:numId w:val="3"/>
        </w:numPr>
        <w:tabs>
          <w:tab w:val="left" w:pos="720" w:leader="none"/>
        </w:tabs>
        <w:ind w:hanging="360" w:start="720" w:end="0"/>
        <w:jc w:val="both"/>
        <w:rPr>
          <w:b w:val="false"/>
          <w:sz w:val="24"/>
        </w:rPr>
      </w:pPr>
      <w:r>
        <w:rPr>
          <w:b w:val="false"/>
          <w:sz w:val="24"/>
        </w:rPr>
        <w:t>Penalidades e Garantias</w:t>
      </w:r>
    </w:p>
    <w:p>
      <w:pPr>
        <w:pStyle w:val="Normal"/>
        <w:numPr>
          <w:ilvl w:val="0"/>
          <w:numId w:val="3"/>
        </w:numPr>
        <w:tabs>
          <w:tab w:val="left" w:pos="720" w:leader="none"/>
        </w:tabs>
        <w:ind w:hanging="360" w:start="720" w:end="0"/>
        <w:jc w:val="both"/>
        <w:rPr>
          <w:b w:val="false"/>
          <w:sz w:val="24"/>
        </w:rPr>
      </w:pPr>
      <w:r>
        <w:rPr>
          <w:b w:val="false"/>
          <w:sz w:val="24"/>
        </w:rPr>
        <w:t xml:space="preserve">Relações organizacionais </w:t>
      </w:r>
    </w:p>
    <w:p>
      <w:pPr>
        <w:pStyle w:val="Normal"/>
        <w:jc w:val="both"/>
        <w:rPr>
          <w:b w:val="false"/>
          <w:sz w:val="24"/>
        </w:rPr>
      </w:pPr>
      <w:r>
        <w:rPr>
          <w:b w:val="false"/>
          <w:sz w:val="24"/>
        </w:rPr>
      </w:r>
    </w:p>
    <w:p>
      <w:pPr>
        <w:pStyle w:val="Normal"/>
        <w:jc w:val="both"/>
        <w:rPr>
          <w:b w:val="false"/>
          <w:sz w:val="24"/>
        </w:rPr>
      </w:pPr>
      <w:r>
        <w:rPr>
          <w:b w:val="false"/>
          <w:sz w:val="24"/>
        </w:rPr>
        <w:t>Sugerimos que a CGE retome imediatamente os trabalhos, e com a força institucional a qual lhe foi delegada, encare de frente e de forma urgente, as questões necessárias para o bom funcionamento do mercado atacadista.</w:t>
      </w:r>
    </w:p>
    <w:p>
      <w:pPr>
        <w:pStyle w:val="Normal"/>
        <w:jc w:val="both"/>
        <w:rPr>
          <w:b w:val="false"/>
          <w:sz w:val="24"/>
        </w:rPr>
      </w:pPr>
      <w:r>
        <w:rPr>
          <w:b w:val="false"/>
          <w:sz w:val="24"/>
        </w:rPr>
      </w:r>
    </w:p>
    <w:p>
      <w:pPr>
        <w:pStyle w:val="Normal"/>
        <w:jc w:val="both"/>
        <w:rPr>
          <w:b w:val="false"/>
          <w:sz w:val="24"/>
        </w:rPr>
      </w:pPr>
      <w:r>
        <w:rPr>
          <w:b w:val="false"/>
          <w:sz w:val="24"/>
        </w:rPr>
        <w:t xml:space="preserve">Aproveitamos a oportunidade para encaminhar a V.Ex.a. documento por nós recentemente enviado à ANEEL, contendo sugestões pragmáticas de como a governança, estrutura e processos chave do MAE deveriam ser corrigidos para permitir seu funcionamento expedito. </w:t>
      </w:r>
    </w:p>
    <w:p>
      <w:pPr>
        <w:pStyle w:val="Normal"/>
        <w:jc w:val="both"/>
        <w:rPr>
          <w:b w:val="false"/>
          <w:sz w:val="24"/>
        </w:rPr>
      </w:pPr>
      <w:r>
        <w:rPr>
          <w:b w:val="false"/>
          <w:sz w:val="24"/>
        </w:rPr>
      </w:r>
    </w:p>
    <w:p>
      <w:pPr>
        <w:pStyle w:val="Normal"/>
        <w:jc w:val="both"/>
        <w:rPr>
          <w:b w:val="false"/>
          <w:sz w:val="24"/>
        </w:rPr>
      </w:pPr>
      <w:r>
        <w:rPr>
          <w:b w:val="false"/>
          <w:sz w:val="24"/>
        </w:rPr>
        <w:t>Estamos certos que a CGE está engajada e tem os poderes institucionais necessários para lidar com as questões elencadas neste documento. Desde já, nos colocamos à disposição para esclarecimentos ou aprofundamentos que se façam necessário, com base em nossa experiência internacional de funcionamento de mercados atacadistas de energia</w:t>
      </w:r>
    </w:p>
    <w:p>
      <w:pPr>
        <w:pStyle w:val="Normal"/>
        <w:jc w:val="both"/>
        <w:rPr>
          <w:b w:val="false"/>
          <w:sz w:val="24"/>
        </w:rPr>
      </w:pPr>
      <w:r>
        <w:rPr>
          <w:b w:val="false"/>
          <w:sz w:val="24"/>
        </w:rPr>
      </w:r>
    </w:p>
    <w:p>
      <w:pPr>
        <w:pStyle w:val="Normal"/>
        <w:jc w:val="both"/>
        <w:rPr>
          <w:b w:val="false"/>
          <w:sz w:val="24"/>
        </w:rPr>
      </w:pPr>
      <w:r>
        <w:rPr>
          <w:b w:val="false"/>
          <w:sz w:val="24"/>
        </w:rPr>
      </w:r>
    </w:p>
    <w:p>
      <w:pPr>
        <w:pStyle w:val="Normal"/>
        <w:jc w:val="both"/>
        <w:rPr>
          <w:b w:val="false"/>
          <w:sz w:val="24"/>
        </w:rPr>
      </w:pPr>
      <w:r>
        <w:rPr>
          <w:b w:val="false"/>
          <w:sz w:val="24"/>
        </w:rPr>
      </w:r>
    </w:p>
    <w:p>
      <w:pPr>
        <w:pStyle w:val="Normal"/>
        <w:jc w:val="both"/>
        <w:rPr>
          <w:b w:val="false"/>
          <w:sz w:val="24"/>
        </w:rPr>
      </w:pPr>
      <w:r>
        <w:rPr>
          <w:b w:val="false"/>
          <w:sz w:val="24"/>
        </w:rPr>
      </w:r>
    </w:p>
    <w:p>
      <w:pPr>
        <w:pStyle w:val="Normal"/>
        <w:jc w:val="both"/>
        <w:rPr>
          <w:b w:val="false"/>
          <w:sz w:val="24"/>
        </w:rPr>
      </w:pPr>
      <w:r>
        <w:rPr>
          <w:b w:val="false"/>
          <w:sz w:val="24"/>
        </w:rPr>
        <w:t>Orlando González</w:t>
      </w:r>
    </w:p>
    <w:p>
      <w:pPr>
        <w:pStyle w:val="Normal"/>
        <w:jc w:val="both"/>
        <w:rPr>
          <w:b w:val="false"/>
          <w:sz w:val="24"/>
        </w:rPr>
      </w:pPr>
      <w:r>
        <w:rPr>
          <w:b w:val="false"/>
          <w:sz w:val="24"/>
        </w:rPr>
        <w:t>Presidente</w:t>
      </w:r>
    </w:p>
    <w:p>
      <w:pPr>
        <w:pStyle w:val="Normal"/>
        <w:jc w:val="both"/>
        <w:rPr>
          <w:b w:val="false"/>
          <w:sz w:val="24"/>
        </w:rPr>
      </w:pPr>
      <w:r>
        <w:rPr>
          <w:b w:val="false"/>
          <w:sz w:val="24"/>
        </w:rPr>
      </w:r>
    </w:p>
    <w:p>
      <w:pPr>
        <w:pStyle w:val="Normal"/>
        <w:jc w:val="both"/>
        <w:rPr>
          <w:b w:val="false"/>
          <w:sz w:val="24"/>
        </w:rPr>
      </w:pPr>
      <w:r>
        <w:rPr>
          <w:b w:val="false"/>
          <w:sz w:val="24"/>
        </w:rPr>
      </w:r>
    </w:p>
    <w:p>
      <w:pPr>
        <w:pStyle w:val="Normal"/>
        <w:jc w:val="both"/>
        <w:rPr>
          <w:b w:val="false"/>
          <w:sz w:val="24"/>
        </w:rPr>
      </w:pPr>
      <w:r>
        <w:rPr>
          <w:b w:val="false"/>
          <w:sz w:val="24"/>
        </w:rPr>
        <w:t xml:space="preserve">Anexo: </w:t>
      </w:r>
    </w:p>
    <w:p>
      <w:pPr>
        <w:pStyle w:val="Normal"/>
        <w:jc w:val="both"/>
        <w:rPr>
          <w:b w:val="false"/>
          <w:sz w:val="24"/>
        </w:rPr>
      </w:pPr>
      <w:r>
        <w:rPr>
          <w:b w:val="false"/>
          <w:sz w:val="24"/>
        </w:rPr>
        <w:t>Informativo Regulatório # 3</w:t>
      </w:r>
    </w:p>
    <w:p>
      <w:pPr>
        <w:pStyle w:val="Normal"/>
        <w:jc w:val="both"/>
        <w:rPr>
          <w:b w:val="false"/>
          <w:sz w:val="24"/>
        </w:rPr>
      </w:pPr>
      <w:r>
        <w:rPr>
          <w:b w:val="false"/>
          <w:sz w:val="24"/>
        </w:rPr>
        <w:t>Comentário Enron Resoluções ANEEL 160, 161 e 162/2001</w:t>
      </w:r>
    </w:p>
    <w:sectPr>
      <w:footerReference w:type="default" r:id="rId3"/>
      <w:type w:val="nextPage"/>
      <w:pgSz w:w="11906" w:h="16838"/>
      <w:pgMar w:left="1260" w:right="1377" w:gutter="0" w:header="0" w:top="1170" w:footer="0" w:bottom="122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29.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b/>
      <w:color w:val="auto"/>
      <w:sz w:val="20"/>
      <w:szCs w:val="20"/>
      <w:lang w:val="pt-BR" w:eastAsia="zh-CN" w:bidi="hi-I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 w:val="false"/>
      <w:sz w:val="28"/>
      <w:lang w:val="en-US"/>
    </w:rPr>
  </w:style>
  <w:style w:type="character" w:styleId="WW8Num1z0">
    <w:name w:val="WW8Num1z0"/>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b w:val="false"/>
      <w:lang w:val="en-US"/>
    </w:rPr>
  </w:style>
  <w:style w:type="paragraph" w:styleId="Header">
    <w:name w:val="header"/>
    <w:basedOn w:val="Normal"/>
    <w:pPr>
      <w:tabs>
        <w:tab w:val="clear" w:pos="720"/>
        <w:tab w:val="center" w:pos="4320" w:leader="none"/>
        <w:tab w:val="right" w:pos="8640" w:leader="none"/>
      </w:tabs>
    </w:pPr>
    <w:rPr>
      <w:rFonts w:ascii="Times New Roman" w:hAnsi="Times New Roman" w:cs="Times New Roman"/>
      <w:b w:val="fals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2001-05-29T07:39:00Z</dcterms:created>
  <dc:creator>gbraz</dc:creator>
  <dc:description/>
  <dc:language>en-CA</dc:language>
  <cp:lastModifiedBy>Enron</cp:lastModifiedBy>
  <dcterms:modified xsi:type="dcterms:W3CDTF">2001-05-29T11:03:00Z</dcterms:modified>
  <cp:revision>3</cp:revision>
  <dc:subject/>
  <dc:title>Excelentíssimo Senhor</dc:title>
</cp:coreProperties>
</file>