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lang w:val="en-US"/>
        </w:rPr>
      </w:pPr>
      <w:r>
        <w:rPr>
          <w:lang w:val="en-US"/>
        </w:rPr>
      </w:r>
    </w:p>
    <w:p>
      <w:pPr>
        <w:pStyle w:val="Normal"/>
        <w:jc w:val="both"/>
        <w:rPr>
          <w:lang w:val="en-US"/>
        </w:rPr>
      </w:pPr>
      <w:r>
        <w:rPr>
          <w:lang w:val="en-US"/>
        </w:rPr>
      </w:r>
    </w:p>
    <w:p>
      <w:pPr>
        <w:pStyle w:val="Normal"/>
        <w:jc w:val="both"/>
        <w:rPr>
          <w:lang w:val="en-US"/>
        </w:rPr>
      </w:pPr>
      <w:r>
        <w:rPr>
          <w:lang w:val="en-US"/>
        </w:rPr>
        <w:t>Santa Cruz, January 1, 2001</w:t>
      </w:r>
    </w:p>
    <w:p>
      <w:pPr>
        <w:pStyle w:val="Normal"/>
        <w:jc w:val="both"/>
        <w:rPr>
          <w:lang w:val="en-US"/>
        </w:rPr>
      </w:pPr>
      <w:r>
        <w:rPr>
          <w:lang w:val="en-US"/>
        </w:rPr>
      </w:r>
    </w:p>
    <w:p>
      <w:pPr>
        <w:pStyle w:val="Normal"/>
        <w:jc w:val="both"/>
        <w:rPr>
          <w:lang w:val="en-US"/>
        </w:rPr>
      </w:pPr>
      <w:r>
        <w:rPr>
          <w:lang w:val="en-US"/>
        </w:rPr>
      </w:r>
    </w:p>
    <w:p>
      <w:pPr>
        <w:pStyle w:val="Normal"/>
        <w:jc w:val="both"/>
        <w:rPr>
          <w:lang w:val="en-US"/>
        </w:rPr>
      </w:pPr>
      <w:r>
        <w:rPr>
          <w:lang w:val="en-US"/>
        </w:rPr>
        <w:t>Mr.</w:t>
      </w:r>
    </w:p>
    <w:p>
      <w:pPr>
        <w:pStyle w:val="Normal"/>
        <w:jc w:val="both"/>
        <w:rPr>
          <w:lang w:val="en-US"/>
        </w:rPr>
      </w:pPr>
      <w:r>
        <w:rPr>
          <w:lang w:val="en-US"/>
        </w:rPr>
        <w:t>Eng. Carlos Miranda Pacheco</w:t>
      </w:r>
    </w:p>
    <w:p>
      <w:pPr>
        <w:pStyle w:val="Normal"/>
        <w:jc w:val="both"/>
        <w:rPr>
          <w:lang w:val="en-US"/>
        </w:rPr>
      </w:pPr>
      <w:r>
        <w:rPr>
          <w:lang w:val="en-US"/>
        </w:rPr>
        <w:t>Hydrocarbon Superintendent</w:t>
      </w:r>
    </w:p>
    <w:p>
      <w:pPr>
        <w:pStyle w:val="Normal"/>
        <w:jc w:val="both"/>
        <w:rPr>
          <w:lang w:val="en-US"/>
        </w:rPr>
      </w:pPr>
      <w:r>
        <w:rPr>
          <w:lang w:val="en-US"/>
        </w:rPr>
        <w:t>La Paz</w:t>
      </w:r>
    </w:p>
    <w:p>
      <w:pPr>
        <w:pStyle w:val="Normal"/>
        <w:jc w:val="both"/>
        <w:rPr>
          <w:lang w:val="en-US"/>
        </w:rPr>
      </w:pPr>
      <w:r>
        <w:rPr>
          <w:lang w:val="en-US"/>
        </w:rPr>
      </w:r>
    </w:p>
    <w:p>
      <w:pPr>
        <w:pStyle w:val="Heading1"/>
        <w:ind w:hanging="0" w:start="0"/>
        <w:jc w:val="both"/>
        <w:rPr>
          <w:lang w:val="en-US"/>
        </w:rPr>
      </w:pPr>
      <w:r>
        <w:rPr>
          <w:lang w:val="en-US"/>
        </w:rPr>
        <w:t>Re: Your Note SH – 5749 DJ – 0971/2000 Amendments to Firm Service Contract entered into between TR and TBS</w:t>
      </w:r>
    </w:p>
    <w:p>
      <w:pPr>
        <w:pStyle w:val="Normal"/>
        <w:jc w:val="both"/>
        <w:rPr>
          <w:lang w:val="en-US"/>
        </w:rPr>
      </w:pPr>
      <w:r>
        <w:rPr>
          <w:lang w:val="en-US"/>
        </w:rPr>
      </w:r>
    </w:p>
    <w:p>
      <w:pPr>
        <w:pStyle w:val="Normal"/>
        <w:jc w:val="both"/>
        <w:rPr>
          <w:lang w:val="en-US"/>
        </w:rPr>
      </w:pPr>
      <w:r>
        <w:rPr>
          <w:lang w:val="en-US"/>
        </w:rPr>
        <w:t>Dear Sir,</w:t>
      </w:r>
    </w:p>
    <w:p>
      <w:pPr>
        <w:pStyle w:val="Normal"/>
        <w:jc w:val="both"/>
        <w:rPr>
          <w:lang w:val="en-US"/>
        </w:rPr>
      </w:pPr>
      <w:r>
        <w:rPr>
          <w:lang w:val="en-US"/>
        </w:rPr>
      </w:r>
    </w:p>
    <w:p>
      <w:pPr>
        <w:pStyle w:val="Normal"/>
        <w:jc w:val="both"/>
        <w:rPr>
          <w:lang w:val="en-US"/>
        </w:rPr>
      </w:pPr>
      <w:r>
        <w:rPr>
          <w:lang w:val="en-US"/>
        </w:rPr>
        <w:t>Regarding your reference Note, we firstly thank you for the time devoted to reviewing the Contract, the Amendments thereto and the Assignment Agreement, which were entered into between Transredes, TBS and Andina/Maxus. We also thank you for the invitation to meet you and review your comments; we will be looking forward to seeing you at your offices on January 5, 2001, so we would appreciate you confirm to us the date and time.</w:t>
      </w:r>
    </w:p>
    <w:p>
      <w:pPr>
        <w:pStyle w:val="Normal"/>
        <w:jc w:val="both"/>
        <w:rPr>
          <w:lang w:val="en-US"/>
        </w:rPr>
      </w:pPr>
      <w:r>
        <w:rPr>
          <w:lang w:val="en-US"/>
        </w:rPr>
      </w:r>
    </w:p>
    <w:p>
      <w:pPr>
        <w:pStyle w:val="Normal"/>
        <w:jc w:val="both"/>
        <w:rPr>
          <w:lang w:val="en-US"/>
        </w:rPr>
      </w:pPr>
      <w:r>
        <w:rPr>
          <w:lang w:val="en-US"/>
        </w:rPr>
        <w:t>We hope that we may settle –through this letter and our next meeting- the concerns you identified in your letter dated December 15. To facilitate conversations, we have organized the matters mentioned in such letter in four general issues, as follows:</w:t>
      </w:r>
    </w:p>
    <w:p>
      <w:pPr>
        <w:pStyle w:val="Normal"/>
        <w:jc w:val="both"/>
        <w:rPr>
          <w:lang w:val="en-US"/>
        </w:rPr>
      </w:pPr>
      <w:r>
        <w:rPr>
          <w:lang w:val="en-US"/>
        </w:rPr>
      </w:r>
    </w:p>
    <w:p>
      <w:pPr>
        <w:pStyle w:val="Normal"/>
        <w:ind w:hanging="1419" w:start="2124" w:end="0"/>
        <w:jc w:val="both"/>
        <w:rPr>
          <w:lang w:val="en-US"/>
        </w:rPr>
      </w:pPr>
      <w:r>
        <w:rPr>
          <w:lang w:val="en-US"/>
        </w:rPr>
        <w:t>Issue 1:</w:t>
        <w:tab/>
        <w:t>Term of the Firm Gas Transportation Service Agreement (the “Transportation Contract”)</w:t>
      </w:r>
    </w:p>
    <w:p>
      <w:pPr>
        <w:pStyle w:val="Normal"/>
        <w:ind w:hanging="1419" w:start="2124" w:end="0"/>
        <w:jc w:val="both"/>
        <w:rPr>
          <w:lang w:val="en-US"/>
        </w:rPr>
      </w:pPr>
      <w:r>
        <w:rPr>
          <w:lang w:val="en-US"/>
        </w:rPr>
      </w:r>
    </w:p>
    <w:p>
      <w:pPr>
        <w:pStyle w:val="Normal"/>
        <w:ind w:hanging="1419" w:start="2124" w:end="0"/>
        <w:jc w:val="both"/>
        <w:rPr>
          <w:lang w:val="en-US"/>
        </w:rPr>
      </w:pPr>
      <w:r>
        <w:rPr>
          <w:lang w:val="en-US"/>
        </w:rPr>
        <w:t>Issue 2:</w:t>
        <w:tab/>
        <w:t>Annexes 1 and 2 to the Transportation Contract</w:t>
      </w:r>
    </w:p>
    <w:p>
      <w:pPr>
        <w:pStyle w:val="Normal"/>
        <w:ind w:hanging="1419" w:start="2124" w:end="0"/>
        <w:jc w:val="both"/>
        <w:rPr>
          <w:lang w:val="en-US"/>
        </w:rPr>
      </w:pPr>
      <w:r>
        <w:rPr>
          <w:lang w:val="en-US"/>
        </w:rPr>
      </w:r>
    </w:p>
    <w:p>
      <w:pPr>
        <w:pStyle w:val="Normal"/>
        <w:ind w:hanging="1419" w:start="2124" w:end="0"/>
        <w:jc w:val="both"/>
        <w:rPr>
          <w:lang w:val="en-US"/>
        </w:rPr>
      </w:pPr>
      <w:r>
        <w:rPr>
          <w:lang w:val="en-US"/>
        </w:rPr>
        <w:t>Issue 3:</w:t>
        <w:tab/>
        <w:t>Amendment to Section VII of the Transportation Contract</w:t>
      </w:r>
    </w:p>
    <w:p>
      <w:pPr>
        <w:pStyle w:val="Normal"/>
        <w:ind w:hanging="1419" w:start="2124" w:end="0"/>
        <w:jc w:val="both"/>
        <w:rPr>
          <w:lang w:val="en-US"/>
        </w:rPr>
      </w:pPr>
      <w:r>
        <w:rPr>
          <w:lang w:val="en-US"/>
        </w:rPr>
      </w:r>
    </w:p>
    <w:p>
      <w:pPr>
        <w:pStyle w:val="Normal"/>
        <w:ind w:hanging="1419" w:start="2124" w:end="0"/>
        <w:jc w:val="both"/>
        <w:rPr>
          <w:lang w:val="en-US"/>
        </w:rPr>
      </w:pPr>
      <w:r>
        <w:rPr>
          <w:lang w:val="en-US"/>
        </w:rPr>
        <w:t>Issue 4:</w:t>
        <w:tab/>
        <w:t>Renumbering of Contract Provisions due to deletion of sections 1 and 20 from the Transportation Contract</w:t>
      </w:r>
    </w:p>
    <w:p>
      <w:pPr>
        <w:pStyle w:val="Normal"/>
        <w:ind w:hanging="1419" w:start="2124" w:end="0"/>
        <w:jc w:val="both"/>
        <w:rPr>
          <w:lang w:val="en-US"/>
        </w:rPr>
      </w:pPr>
      <w:r>
        <w:rPr>
          <w:lang w:val="en-US"/>
        </w:rPr>
      </w:r>
    </w:p>
    <w:p>
      <w:pPr>
        <w:pStyle w:val="Normal"/>
        <w:ind w:hanging="1419" w:start="1419" w:end="0"/>
        <w:jc w:val="both"/>
        <w:rPr>
          <w:lang w:val="en-US"/>
        </w:rPr>
      </w:pPr>
      <w:r>
        <w:rPr>
          <w:lang w:val="en-US"/>
        </w:rPr>
        <w:t>The first two issues are the most important ones and are dealt with first.</w:t>
      </w:r>
    </w:p>
    <w:p>
      <w:pPr>
        <w:pStyle w:val="Normal"/>
        <w:ind w:hanging="1419" w:start="1419" w:end="0"/>
        <w:jc w:val="both"/>
        <w:rPr>
          <w:lang w:val="en-US"/>
        </w:rPr>
      </w:pPr>
      <w:r>
        <w:rPr>
          <w:lang w:val="en-US"/>
        </w:rPr>
      </w:r>
    </w:p>
    <w:p>
      <w:pPr>
        <w:pStyle w:val="Normal"/>
        <w:ind w:hanging="1419" w:start="1419" w:end="0"/>
        <w:jc w:val="both"/>
        <w:rPr/>
      </w:pPr>
      <w:r>
        <w:rPr>
          <w:u w:val="single"/>
          <w:lang w:val="en-US"/>
        </w:rPr>
        <w:t>Issue 1.</w:t>
      </w:r>
      <w:r>
        <w:rPr>
          <w:lang w:val="en-US"/>
        </w:rPr>
        <w:tab/>
      </w:r>
      <w:r>
        <w:rPr>
          <w:u w:val="single"/>
          <w:lang w:val="en-US"/>
        </w:rPr>
        <w:t>Term.</w:t>
      </w:r>
      <w:r>
        <w:rPr>
          <w:lang w:val="en-US"/>
        </w:rPr>
        <w:t xml:space="preserve"> The answer to the remark made by you is that the First Amendment extended its term to a period exceeding 19 years. Now the term shall start on the Service Initiation Date and shall end on a day that falls “19 years after whatever occurs first between (a) the date of completion of the third commercial phase of the Cuiabá Generation Plant and (b) May 4, 2001”. A manner to see the new and extended term is to think of it as two periods, the first of which shall start on the Service Initiation Date and shall end on “whatever occurs first  of the aforementioned (a) and (b), and the second that begins on the first of such dates and ends on the 19</w:t>
      </w:r>
      <w:r>
        <w:rPr>
          <w:vertAlign w:val="superscript"/>
          <w:lang w:val="en-US"/>
        </w:rPr>
        <w:t>th</w:t>
      </w:r>
      <w:r>
        <w:rPr>
          <w:lang w:val="en-US"/>
        </w:rPr>
        <w:t xml:space="preserve">. anniversary of such earlier date. Thus, reviews of the First Amendment as to term do not result in a “vacuum” period. </w:t>
      </w:r>
    </w:p>
    <w:p>
      <w:pPr>
        <w:pStyle w:val="Normal"/>
        <w:ind w:hanging="1419" w:start="1419" w:end="0"/>
        <w:jc w:val="both"/>
        <w:rPr>
          <w:lang w:val="en-US"/>
        </w:rPr>
      </w:pPr>
      <w:r>
        <w:rPr>
          <w:lang w:val="en-US"/>
        </w:rPr>
      </w:r>
    </w:p>
    <w:p>
      <w:pPr>
        <w:pStyle w:val="Normal"/>
        <w:ind w:hanging="1419" w:start="1419" w:end="0"/>
        <w:jc w:val="both"/>
        <w:rPr/>
      </w:pPr>
      <w:r>
        <w:rPr>
          <w:u w:val="single"/>
          <w:lang w:val="en-US"/>
        </w:rPr>
        <w:t>Issue 2:</w:t>
      </w:r>
      <w:r>
        <w:rPr>
          <w:lang w:val="en-US"/>
        </w:rPr>
        <w:tab/>
      </w:r>
      <w:r>
        <w:rPr>
          <w:u w:val="single"/>
          <w:lang w:val="en-US"/>
        </w:rPr>
        <w:t>Annexes 1 and 2.</w:t>
      </w:r>
      <w:r>
        <w:rPr>
          <w:lang w:val="en-US"/>
        </w:rPr>
        <w:t xml:space="preserve"> Regarding Annexes 1 and 2 of the Transportation Contract, you are concerned about the reason why Annexes 1 and 2 were attached to the Assignment instead of the First Amendment. The reason is due to the fact that the changes made in the Annexes –which mainly consist in changes in the receipt POIs for the capacity allocated to Andina and Maxus- are necessary only if the Assignment itself becomes effective. In other words, if the assignment of TBS capacity to Andina and Maxus does not take place, the changes in delivery points will not take place either. We admit that Annexes 1 and 2 also refer to dates on which the capacity of specific POIs will be available; however, such dates do not extend the term of the agreement, but simply ensure that the term indicated in the First Amendment is coordinated with the periods of the capacity assignment, as indicated in the Assignment.</w:t>
      </w:r>
    </w:p>
    <w:p>
      <w:pPr>
        <w:pStyle w:val="Normal"/>
        <w:ind w:hanging="1419" w:start="1419" w:end="0"/>
        <w:jc w:val="both"/>
        <w:rPr>
          <w:u w:val="single"/>
          <w:lang w:val="en-US"/>
        </w:rPr>
      </w:pPr>
      <w:r>
        <w:rPr>
          <w:u w:val="single"/>
          <w:lang w:val="en-US"/>
        </w:rPr>
      </w:r>
    </w:p>
    <w:p>
      <w:pPr>
        <w:pStyle w:val="Normal"/>
        <w:ind w:hanging="1419" w:start="1419" w:end="0"/>
        <w:jc w:val="both"/>
        <w:rPr/>
      </w:pPr>
      <w:r>
        <w:rPr>
          <w:lang w:val="en-US"/>
        </w:rPr>
        <w:tab/>
        <w:t xml:space="preserve">Section 1.2 of your Note states that the changes in receipt points and POIs must be approved by the Superintendence under Section 40 of the Regulations for Hydrocarbon Transportation through Pipes. The Superintendence’s authority for enforcement of such regulations is acknowledged. However, we understand that for changes in POIs, the Superintendence would not be required to approve </w:t>
      </w:r>
      <w:r>
        <w:rPr>
          <w:i/>
          <w:lang w:val="en-US"/>
        </w:rPr>
        <w:t>all</w:t>
      </w:r>
      <w:r>
        <w:rPr>
          <w:lang w:val="en-US"/>
        </w:rPr>
        <w:t xml:space="preserve"> changes, which could become an insurmountable task in an environment where the number of contracts and contracting parties is increasing dramatically and requires a prompt operating management. However, if such approval is required, we request that the Superintendence deals with submission of Annexes 1 and 2 as an application for approval of such annexes. As the Superintendence must have noticed, Section 10.2 of the Assignment already admits that the Assignment is subject to approval by the Superintendence.</w:t>
      </w:r>
    </w:p>
    <w:p>
      <w:pPr>
        <w:pStyle w:val="Normal"/>
        <w:ind w:hanging="1419" w:start="1419" w:end="0"/>
        <w:jc w:val="both"/>
        <w:rPr>
          <w:lang w:val="en-US"/>
        </w:rPr>
      </w:pPr>
      <w:r>
        <w:rPr>
          <w:lang w:val="en-US"/>
        </w:rPr>
      </w:r>
    </w:p>
    <w:p>
      <w:pPr>
        <w:pStyle w:val="Normal"/>
        <w:ind w:hanging="1419" w:start="1419" w:end="0"/>
        <w:jc w:val="both"/>
        <w:rPr/>
      </w:pPr>
      <w:r>
        <w:rPr>
          <w:u w:val="single"/>
          <w:lang w:val="en-US"/>
        </w:rPr>
        <w:t>Issue 3:</w:t>
      </w:r>
      <w:r>
        <w:rPr>
          <w:lang w:val="en-US"/>
        </w:rPr>
        <w:tab/>
      </w:r>
      <w:r>
        <w:rPr>
          <w:u w:val="single"/>
          <w:lang w:val="en-US"/>
        </w:rPr>
        <w:t>Section VII of the Transportation Contract.</w:t>
      </w:r>
      <w:r>
        <w:rPr>
          <w:lang w:val="en-US"/>
        </w:rPr>
        <w:t xml:space="preserve"> In the third issue under part 1.1 (Legal Comments, First Amendment) of your letter, you suggest that the change in the text of (c) of Section VII of the Agreement is not necessary since the change issue is covered by (d) of such section. The change in (c) was made to fix what one of the parties saw as a possible ambiguity. During negotiations, one of the parties indicated that (c) deals with taxes and surcharges “charged by any competent authority” while (d) deals with other charges approved by “the Superintendence or taxes by any competent authority”. It was suggested that the reference to the “Superintendence” in (d) and to “any other competent authority” could lead to one reading that the reference in (c) to “any competent authority” does not include the Superintendence. Thus, the change was made to ensure that (c) applied to taxes and surcharges imposed by the Superintendence.</w:t>
      </w:r>
    </w:p>
    <w:p>
      <w:pPr>
        <w:pStyle w:val="Normal"/>
        <w:ind w:hanging="1419" w:start="1419" w:end="0"/>
        <w:jc w:val="both"/>
        <w:rPr>
          <w:u w:val="single"/>
          <w:lang w:val="en-US"/>
        </w:rPr>
      </w:pPr>
      <w:r>
        <w:rPr>
          <w:u w:val="single"/>
          <w:lang w:val="en-US"/>
        </w:rPr>
      </w:r>
    </w:p>
    <w:p>
      <w:pPr>
        <w:pStyle w:val="Normal"/>
        <w:ind w:hanging="1419" w:start="1419" w:end="0"/>
        <w:jc w:val="both"/>
        <w:rPr/>
      </w:pPr>
      <w:r>
        <w:rPr>
          <w:u w:val="single"/>
          <w:lang w:val="en-US"/>
        </w:rPr>
        <w:t>Issue 4:</w:t>
      </w:r>
      <w:r>
        <w:rPr>
          <w:lang w:val="en-US"/>
        </w:rPr>
        <w:tab/>
      </w:r>
      <w:r>
        <w:rPr>
          <w:u w:val="single"/>
          <w:lang w:val="en-US"/>
        </w:rPr>
        <w:t>Renumbering of Contract Provisions.</w:t>
      </w:r>
      <w:r>
        <w:rPr>
          <w:lang w:val="en-US"/>
        </w:rPr>
        <w:t xml:space="preserve"> In the fourth issue under part 1.1. (Legal Comments, First Amendment), you notify that the sections of Annex 4 must be numbered again as a result of deletion of sections 1 and 20 from such annex. We agree with the Superintendence in that, in normal cases, the preferred approach is the introduction of new numbers. We would like to ask the Superintendence to consider the following special circumstances in this case:</w:t>
      </w:r>
    </w:p>
    <w:p>
      <w:pPr>
        <w:pStyle w:val="Normal"/>
        <w:ind w:hanging="1419" w:start="1419" w:end="0"/>
        <w:jc w:val="both"/>
        <w:rPr>
          <w:u w:val="single"/>
          <w:lang w:val="en-US"/>
        </w:rPr>
      </w:pPr>
      <w:r>
        <w:rPr>
          <w:u w:val="single"/>
          <w:lang w:val="en-US"/>
        </w:rPr>
      </w:r>
    </w:p>
    <w:p>
      <w:pPr>
        <w:pStyle w:val="Normal"/>
        <w:numPr>
          <w:ilvl w:val="0"/>
          <w:numId w:val="2"/>
        </w:numPr>
        <w:jc w:val="both"/>
        <w:rPr>
          <w:lang w:val="en-US"/>
        </w:rPr>
      </w:pPr>
      <w:r>
        <w:rPr>
          <w:lang w:val="en-US"/>
        </w:rPr>
        <w:t>Since section 1 of Annex 4 was deleted, upon numbering it again it would be necessary to renumber all Annex 4. Given the changes already made to the Transportation Contract body, such renumbering would imply in essence a new layout of all the contract and annexes instead of a simple amendment to the Transportation Contract.</w:t>
      </w:r>
    </w:p>
    <w:p>
      <w:pPr>
        <w:pStyle w:val="Normal"/>
        <w:jc w:val="both"/>
        <w:rPr>
          <w:lang w:val="en-US"/>
        </w:rPr>
      </w:pPr>
      <w:r>
        <w:rPr>
          <w:lang w:val="en-US"/>
        </w:rPr>
      </w:r>
    </w:p>
    <w:p>
      <w:pPr>
        <w:pStyle w:val="Normal"/>
        <w:numPr>
          <w:ilvl w:val="0"/>
          <w:numId w:val="2"/>
        </w:numPr>
        <w:jc w:val="both"/>
        <w:rPr>
          <w:lang w:val="en-US"/>
        </w:rPr>
      </w:pPr>
      <w:r>
        <w:rPr>
          <w:lang w:val="en-US"/>
        </w:rPr>
        <w:t>As the Superintendence knows, the Transportation Contract is part of a much larger “Cuiabá Project” which involves several contracts and financing arrangements. Many of the contracts contain references to other contracts. Upon renumbering all the probable Annex 4 (and making a new layout of all the contract) amendments should be made to several other project documents, not to achieve a substantive change but simply to renumber sections of Annex 4.</w:t>
      </w:r>
    </w:p>
    <w:p>
      <w:pPr>
        <w:pStyle w:val="Normal"/>
        <w:jc w:val="both"/>
        <w:rPr>
          <w:lang w:val="en-US"/>
        </w:rPr>
      </w:pPr>
      <w:r>
        <w:rPr>
          <w:lang w:val="en-US"/>
        </w:rPr>
      </w:r>
    </w:p>
    <w:p>
      <w:pPr>
        <w:pStyle w:val="Normal"/>
        <w:numPr>
          <w:ilvl w:val="0"/>
          <w:numId w:val="2"/>
        </w:numPr>
        <w:jc w:val="both"/>
        <w:rPr>
          <w:lang w:val="en-US"/>
        </w:rPr>
      </w:pPr>
      <w:r>
        <w:rPr>
          <w:lang w:val="en-US"/>
        </w:rPr>
        <w:t>Upon renumbering Annex 4, it would be necessary to make several changes in the Assignment, including the Preliminary Consideration 2 and Sections 5.2, 5.3 and 9.2, which would require the parties to perform and submit again the Assignment solely for procedural purposes.</w:t>
      </w:r>
    </w:p>
    <w:p>
      <w:pPr>
        <w:pStyle w:val="Normal"/>
        <w:jc w:val="both"/>
        <w:rPr>
          <w:lang w:val="en-US"/>
        </w:rPr>
      </w:pPr>
      <w:r>
        <w:rPr>
          <w:lang w:val="en-US"/>
        </w:rPr>
      </w:r>
    </w:p>
    <w:p>
      <w:pPr>
        <w:pStyle w:val="Normal"/>
        <w:ind w:start="1416" w:end="0"/>
        <w:jc w:val="both"/>
        <w:rPr>
          <w:lang w:val="en-US"/>
        </w:rPr>
      </w:pPr>
      <w:r>
        <w:rPr>
          <w:lang w:val="en-US"/>
        </w:rPr>
        <w:t>Given these circumstances and the fact that renumbering [Annex 4],  would seem to be a drafting matter and not an illegality which would prevent approval of an agreement, we respectfully request that the Superintendence exercises its powers and does not require renumbering of Annex 4.</w:t>
      </w:r>
    </w:p>
    <w:p>
      <w:pPr>
        <w:pStyle w:val="Normal"/>
        <w:ind w:start="1416" w:end="0"/>
        <w:jc w:val="both"/>
        <w:rPr>
          <w:lang w:val="en-US"/>
        </w:rPr>
      </w:pPr>
      <w:r>
        <w:rPr>
          <w:lang w:val="en-US"/>
        </w:rPr>
      </w:r>
    </w:p>
    <w:p>
      <w:pPr>
        <w:pStyle w:val="Normal"/>
        <w:jc w:val="both"/>
        <w:rPr>
          <w:lang w:val="en-US"/>
        </w:rPr>
      </w:pPr>
      <w:r>
        <w:rPr>
          <w:lang w:val="en-US"/>
        </w:rPr>
        <w:t>We’ll be looking forward to discussing these issues at our meeting.</w:t>
      </w:r>
    </w:p>
    <w:p>
      <w:pPr>
        <w:pStyle w:val="Normal"/>
        <w:jc w:val="both"/>
        <w:rPr>
          <w:lang w:val="en-US"/>
        </w:rPr>
      </w:pPr>
      <w:r>
        <w:rPr>
          <w:lang w:val="en-US"/>
        </w:rPr>
      </w:r>
    </w:p>
    <w:p>
      <w:pPr>
        <w:pStyle w:val="Normal"/>
        <w:jc w:val="both"/>
        <w:rPr>
          <w:lang w:val="en-US"/>
        </w:rPr>
      </w:pPr>
      <w:r>
        <w:rPr>
          <w:lang w:val="en-US"/>
        </w:rPr>
        <w:t>Truly yours,</w:t>
      </w:r>
    </w:p>
    <w:p>
      <w:pPr>
        <w:pStyle w:val="Normal"/>
        <w:ind w:hanging="1419" w:start="1419" w:end="0"/>
        <w:jc w:val="both"/>
        <w:rPr>
          <w:lang w:val="en-US"/>
        </w:rPr>
      </w:pPr>
      <w:r>
        <w:rPr>
          <w:lang w:val="en-US"/>
        </w:rPr>
      </w:r>
    </w:p>
    <w:p>
      <w:pPr>
        <w:pStyle w:val="Normal"/>
        <w:ind w:hanging="1419" w:start="1419" w:end="0"/>
        <w:jc w:val="both"/>
        <w:rPr>
          <w:lang w:val="en-US"/>
        </w:rPr>
      </w:pPr>
      <w:r>
        <w:rPr>
          <w:lang w:val="en-US"/>
        </w:rPr>
      </w:r>
    </w:p>
    <w:p>
      <w:pPr>
        <w:pStyle w:val="Normal"/>
        <w:ind w:hanging="1419" w:start="1419" w:end="0"/>
        <w:jc w:val="both"/>
        <w:rPr>
          <w:lang w:val="en-US"/>
        </w:rPr>
      </w:pPr>
      <w:r>
        <w:rPr>
          <w:lang w:val="en-US"/>
        </w:rPr>
        <w:t>Doug Farmer</w:t>
      </w:r>
    </w:p>
    <w:p>
      <w:pPr>
        <w:pStyle w:val="Normal"/>
        <w:ind w:hanging="1419" w:start="1419" w:end="0"/>
        <w:jc w:val="both"/>
        <w:rPr>
          <w:lang w:val="en-US"/>
        </w:rPr>
      </w:pPr>
      <w:r>
        <w:rPr>
          <w:lang w:val="en-US"/>
        </w:rPr>
        <w:t>Marketing Vice-President</w:t>
      </w:r>
    </w:p>
    <w:sectPr>
      <w:type w:val="nextPage"/>
      <w:pgSz w:w="12240" w:h="15840"/>
      <w:pgMar w:left="1701" w:right="1701" w:gutter="0" w:header="0" w:top="1418" w:footer="0"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2130"/>
        </w:tabs>
        <w:ind w:start="2130" w:hanging="705"/>
      </w:pPr>
      <w:rPr/>
    </w:lvl>
  </w:abstractNum>
  <w:num w:numId="1">
    <w:abstractNumId w:val="1"/>
  </w:num>
  <w:num w:numId="2">
    <w:abstractNumId w:val="2"/>
  </w:num>
</w:numbering>
</file>

<file path=word/settings.xml><?xml version="1.0" encoding="utf-8"?>
<w:settings xmlns:w="http://schemas.openxmlformats.org/wordprocessingml/2006/main">
  <w:zoom w:percent="90"/>
  <w:defaultTabStop w:val="708"/>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s-ES" w:eastAsia="zh-CN" w:bidi="hi-IN"/>
    </w:rPr>
  </w:style>
  <w:style w:type="paragraph" w:styleId="Heading1">
    <w:name w:val="heading 1"/>
    <w:basedOn w:val="Normal"/>
    <w:next w:val="Normal"/>
    <w:qFormat/>
    <w:pPr>
      <w:keepNext w:val="true"/>
      <w:numPr>
        <w:ilvl w:val="0"/>
        <w:numId w:val="1"/>
      </w:numPr>
      <w:jc w:val="end"/>
      <w:outlineLvl w:val="0"/>
    </w:pPr>
    <w:rPr>
      <w:b/>
      <w:i/>
      <w:u w:val="single"/>
      <w:lang w:val="es-BO"/>
    </w:rPr>
  </w:style>
  <w:style w:type="character" w:styleId="WW8Num1z0">
    <w:name w:val="WW8Num1z0"/>
    <w:qFormat/>
    <w:rPr/>
  </w:style>
  <w:style w:type="character" w:styleId="Fuentedeprrafopredeter">
    <w:name w:val="Fuente de párrafo predeter."/>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2001-01-04T13:54:00Z</dcterms:created>
  <dc:creator>Terry Vodjani</dc:creator>
  <dc:description/>
  <dc:language>en-CA</dc:language>
  <cp:lastModifiedBy>x</cp:lastModifiedBy>
  <cp:lastPrinted>2001-01-04T12:29:00Z</cp:lastPrinted>
  <dcterms:modified xsi:type="dcterms:W3CDTF">2001-01-04T14:22:00Z</dcterms:modified>
  <cp:revision>4</cp:revision>
  <dc:subject/>
  <dc:title>[Membrete]</dc:title>
</cp:coreProperties>
</file>