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sz w:val="20"/>
        </w:rPr>
        <w:drawing>
          <wp:inline distT="0" distB="0" distL="0" distR="0">
            <wp:extent cx="92710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2"/>
        </w:rPr>
        <w:t xml:space="preserve">LEGAL </w:t>
        <w:tab/>
        <w:t>DEPARTMENT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ab/>
      </w:r>
      <w:bookmarkStart w:id="0" w:name="StartOfMemo"/>
      <w:bookmarkEnd w:id="0"/>
    </w:p>
    <w:p>
      <w:pPr>
        <w:pStyle w:val="Subtitle"/>
        <w:rPr>
          <w:sz w:val="24"/>
        </w:rPr>
      </w:pPr>
      <w:r>
        <w:rPr>
          <w:sz w:val="24"/>
        </w:rPr>
        <w:t>Enron North America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8478"/>
      </w:tblGrid>
      <w:tr>
        <w:trPr>
          <w:trHeight w:val="575" w:hRule="atLeast"/>
        </w:trPr>
        <w:tc>
          <w:tcPr>
            <w:tcW w:w="1098" w:type="dxa"/>
            <w:tcBorders/>
          </w:tcPr>
          <w:p>
            <w:pPr>
              <w:pStyle w:val="Normal"/>
              <w:tabs>
                <w:tab w:val="clear" w:pos="540"/>
                <w:tab w:val="left" w:pos="1080" w:leader="none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To:</w:t>
              <w:tab/>
              <w:t>John Doe</w:t>
            </w:r>
          </w:p>
        </w:tc>
        <w:tc>
          <w:tcPr>
            <w:tcW w:w="8478" w:type="dxa"/>
            <w:tcBorders/>
          </w:tcPr>
          <w:p>
            <w:pPr>
              <w:pStyle w:val="Normal"/>
              <w:tabs>
                <w:tab w:val="clear" w:pos="540"/>
                <w:tab w:val="left" w:pos="1080" w:leader="none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Carolyn Campbell</w:t>
            </w:r>
          </w:p>
        </w:tc>
      </w:tr>
      <w:tr>
        <w:trPr>
          <w:trHeight w:val="548" w:hRule="atLeast"/>
        </w:trPr>
        <w:tc>
          <w:tcPr>
            <w:tcW w:w="1098" w:type="dxa"/>
            <w:tcBorders/>
          </w:tcPr>
          <w:p>
            <w:pPr>
              <w:pStyle w:val="Normal"/>
              <w:tabs>
                <w:tab w:val="clear" w:pos="540"/>
                <w:tab w:val="left" w:pos="1080" w:leader="none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From:</w:t>
              <w:tab/>
              <w:t>Carlos Solé</w:t>
            </w:r>
          </w:p>
        </w:tc>
        <w:tc>
          <w:tcPr>
            <w:tcW w:w="8478" w:type="dxa"/>
            <w:tcBorders/>
          </w:tcPr>
          <w:p>
            <w:pPr>
              <w:pStyle w:val="Normal"/>
              <w:tabs>
                <w:tab w:val="clear" w:pos="540"/>
                <w:tab w:val="left" w:pos="1080" w:leader="none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Kathleen Carnahan</w:t>
            </w:r>
          </w:p>
        </w:tc>
      </w:tr>
      <w:tr>
        <w:trPr>
          <w:trHeight w:val="548" w:hRule="atLeast"/>
        </w:trPr>
        <w:tc>
          <w:tcPr>
            <w:tcW w:w="9576" w:type="dxa"/>
            <w:gridSpan w:val="2"/>
            <w:tcBorders/>
          </w:tcPr>
          <w:p>
            <w:pPr>
              <w:pStyle w:val="Normal"/>
              <w:ind w:hanging="1080" w:start="1080" w:end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Date:</w:t>
              <w:tab/>
              <w:tab/>
              <w:t>May 1, 2001</w:t>
            </w:r>
          </w:p>
        </w:tc>
      </w:tr>
      <w:tr>
        <w:trPr>
          <w:trHeight w:val="576" w:hRule="atLeast"/>
        </w:trPr>
        <w:tc>
          <w:tcPr>
            <w:tcW w:w="1098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540"/>
                <w:tab w:val="left" w:pos="1080" w:leader="none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Subject:</w:t>
              <w:tab/>
              <w:t>Holland Project</w:t>
            </w:r>
          </w:p>
        </w:tc>
        <w:tc>
          <w:tcPr>
            <w:tcW w:w="8478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540"/>
                <w:tab w:val="left" w:pos="1080" w:leader="none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ENA/Pegasus Power/Salmon Energy Transaction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Carloyn: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Enclosed are the following documents and original signature pages in connection with the above referenced transaction: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Salmon Energy LLC (the "LLC") Membership Certificates Numbers 1, 2 and 3;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First Amended &amp; Restated Limited Liability Company Agreement of the LLC (5 original signature pages)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Consent of Members of the LLC (5 original signature pages);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 Letter re Forms of Agreement (6 original signature pages);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 Consent and Agreement (6 original signatures pages for GE);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Turbine Contract (6 original signature pages, executed in counterparts);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Escrow Agreement (4 original signature pages);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Page 2 of the Schedule of Fees (3 original signature pages);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Certificate of Incumbency (1 original);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Consent and Agreement (1 original); and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Consent of Sole Member authorizing acquisition of turbines and issuance of membership interest (1 original).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holding the following for Jacob S. Thomas' signature: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ind w:hanging="540" w:start="108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Consent of Directors of LLC electing new officers;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108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Consent of Directors authorizing financing documents;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108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Escrow Disbursement Instruction Letter; and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108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Secretary's Certificate.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rFonts w:ascii="Times New Roman" w:hAnsi="Times New Roman" w:cs="Times New Roman"/>
        <w:sz w:val="16"/>
      </w:rPr>
    </w:pPr>
    <w:r>
      <w:rPr>
        <w:rFonts w:cs="Times New Roman" w:ascii="Times New Roman" w:hAnsi="Times New Roman"/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rFonts w:ascii="Times New Roman" w:hAnsi="Times New Roman" w:cs="Times New Roman"/>
        <w:sz w:val="12"/>
      </w:rPr>
    </w:pPr>
    <w:r>
      <w:rPr>
        <w:rFonts w:cs="Times New Roman" w:ascii="Times New Roman" w:hAnsi="Times New Roman"/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rFonts w:ascii="Times New Roman" w:hAnsi="Times New Roman" w:cs="Times New Roman"/>
        <w:sz w:val="8"/>
      </w:rPr>
    </w:pPr>
    <w:r>
      <w:rPr>
        <w:rFonts w:cs="Times New Roman" w:ascii="Times New Roman" w:hAnsi="Times New Roman"/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rFonts w:ascii="Times New Roman" w:hAnsi="Times New Roman" w:cs="Times New Roman"/>
                        <w:b/>
                        <w:sz w:val="32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90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5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Subtitle">
    <w:name w:val="Subtitle"/>
    <w:basedOn w:val="Normal"/>
    <w:next w:val="BodyText"/>
    <w:qFormat/>
    <w:pPr>
      <w:suppressAutoHyphens w:val="true"/>
      <w:jc w:val="both"/>
    </w:pPr>
    <w:rPr>
      <w:rFonts w:ascii="Times New Roman" w:hAnsi="Times New Roman" w:cs="Times New Roman"/>
      <w:b/>
      <w:spacing w:val="-3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2001-05-01T19:08:00Z</dcterms:created>
  <dc:creator>drogers</dc:creator>
  <dc:description/>
  <dc:language>en-CA</dc:language>
  <cp:lastModifiedBy>Kathleen Carnahan</cp:lastModifiedBy>
  <cp:lastPrinted>2001-05-01T15:39:00Z</cp:lastPrinted>
  <dcterms:modified xsi:type="dcterms:W3CDTF">2001-05-01T19:08:00Z</dcterms:modified>
  <cp:revision>2</cp:revision>
  <dc:subject/>
  <dc:title>Eron Capital &amp; Trade Resources Memo</dc:title>
</cp:coreProperties>
</file>