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September 13,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("Carolina Power &amp; Light Company" or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pPr>
            <w:r>
              <w:rPr>
                <w:b/>
                <w:bCs/>
                <w:sz w:val="20"/>
              </w:rPr>
              <w:t xml:space="preserve">All Notices: </w:t>
            </w:r>
            <w:r>
              <w:rPr>
                <w:sz w:val="20"/>
              </w:rPr>
              <w:t>P.O. Box 1551</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411 Fayetteville Street Mall</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Raleigh, NC</w:t>
              <w:tab/>
              <w:t>Zip: 27602</w:t>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(919) 546-6846</w:t>
              <w:br/>
              <w:t>Facsimile: (919) 546-2645</w:t>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 xml:space="preserve">Party B: Carolina Power &amp; </w:t>
              <w:br/>
              <w:t xml:space="preserve">                   Light Company</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pPr>
            <w:r>
              <w:rPr>
                <w:rFonts w:cs="Times New Roman" w:ascii="Times New Roman" w:hAnsi="Times New Roman"/>
                <w:szCs w:val="24"/>
              </w:rPr>
              <w:t>Cross Default Amount $50,000,000.00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t></w:t>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Carolina Power &amp; Light Company</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$20,000,000.00;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B if Carolina Power &amp; Light Company’s Credit Rating falls below BBB- from S&amp;P or Baa3 from Moody's or if Carolina Power &amp; Light Company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$20,000,000.00;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$20,000,000.00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delivered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that this Master Agreement shall supersede and replace all prior agreements between the parties hereto with respect to the subject matter hereof, including the Power Sale Agreement dated as of December 19, 1994 and the Service Agreement dated as of February 13, 1995.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pharase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rPr>
      </w:pPr>
      <w:r>
        <w:rPr>
          <w:b w:val="false"/>
          <w:bCs w:val="false"/>
        </w:rPr>
        <w:t xml:space="preserve">"CAISO Firm"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p>
    <w:p>
      <w:pPr>
        <w:pStyle w:val="BodyText2"/>
        <w:jc w:val="both"/>
        <w:rPr>
          <w:b w:val="false"/>
          <w:bCs w:val="false"/>
        </w:rPr>
      </w:pPr>
      <w:r>
        <w:rPr>
          <w:b w:val="false"/>
          <w:bCs w:val="false"/>
        </w:rPr>
      </w:r>
    </w:p>
    <w:p>
      <w:pPr>
        <w:pStyle w:val="BodyText2"/>
        <w:jc w:val="both"/>
        <w:rPr>
          <w:b w:val="false"/>
          <w:bCs w:val="false"/>
        </w:rPr>
      </w:pPr>
      <w:r>
        <w:rPr>
          <w:b w:val="false"/>
          <w:bCs w:val="false"/>
        </w:rPr>
        <w:t>"CAISO Schedule Adjustment" means a schedule change implemented by the CAISO that is neither caused by, or within the control of, either Party and that results in the CAISO applying Ex Post Pricing to all or part of the Contract Quantity.</w:t>
      </w:r>
    </w:p>
    <w:p>
      <w:pPr>
        <w:pStyle w:val="BodyText2"/>
        <w:jc w:val="both"/>
        <w:rPr>
          <w:b w:val="false"/>
          <w:bCs w:val="false"/>
        </w:rPr>
      </w:pPr>
      <w:r>
        <w:rPr>
          <w:b w:val="false"/>
          <w:bCs w:val="false"/>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Carolina Power &amp; Light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2000-09-13T17:39:00Z</dcterms:created>
  <dc:creator>jmoore2</dc:creator>
  <dc:description/>
  <dc:language>en-CA</dc:language>
  <cp:lastModifiedBy>gfitzge</cp:lastModifiedBy>
  <cp:lastPrinted>2000-09-13T15:57:00Z</cp:lastPrinted>
  <dcterms:modified xsi:type="dcterms:W3CDTF">2000-09-13T18:27:00Z</dcterms:modified>
  <cp:revision>4</cp:revision>
  <dc:subject/>
  <dc:title>MASTER POWER PURCHASE AND SALE AGREEMENT</dc:title>
</cp:coreProperties>
</file>