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Dominic E Carolan</w:t>
      </w:r>
    </w:p>
    <w:p>
      <w:pPr>
        <w:pStyle w:val="Heading2"/>
        <w:tabs>
          <w:tab w:val="clear" w:pos="8280"/>
          <w:tab w:val="decimal" w:pos="7920" w:leader="none"/>
        </w:tabs>
        <w:ind w:end="-180"/>
        <w:rPr/>
      </w:pPr>
      <w:r>
        <w:rPr/>
        <w:t>4108 Marquette  Houston  Texas 77005</w:t>
        <w:tab/>
        <w:t>Tel: (713) 838 9810</w:t>
      </w:r>
    </w:p>
    <w:p>
      <w:pPr>
        <w:pStyle w:val="Normal"/>
        <w:rPr>
          <w:u w:val="single"/>
        </w:rPr>
      </w:pPr>
      <w:r>
        <w:rPr>
          <w:u w:val="single"/>
        </w:rPr>
      </w:r>
    </w:p>
    <w:p>
      <w:pPr>
        <w:pStyle w:val="Normal"/>
        <w:rPr>
          <w:u w:val="single"/>
        </w:rPr>
      </w:pPr>
      <w:r>
        <w:rPr>
          <w:u w:val="single"/>
        </w:rPr>
      </w:r>
    </w:p>
    <w:p>
      <w:pPr>
        <w:pStyle w:val="Heading4"/>
        <w:ind w:hanging="0" w:start="0"/>
        <w:rPr>
          <w:u w:val="single"/>
        </w:rPr>
      </w:pPr>
      <w:r>
        <w:rPr>
          <w:u w:val="single"/>
        </w:rPr>
        <w:t>EMPLOYMENT SUMMARY</w:t>
      </w:r>
    </w:p>
    <w:p>
      <w:pPr>
        <w:pStyle w:val="Normal"/>
        <w:rPr>
          <w:b/>
          <w:u w:val="single"/>
        </w:rPr>
      </w:pPr>
      <w:r>
        <w:rPr>
          <w:b/>
          <w:u w:val="single"/>
        </w:rPr>
      </w:r>
    </w:p>
    <w:p>
      <w:pPr>
        <w:pStyle w:val="Heading1"/>
        <w:tabs>
          <w:tab w:val="clear" w:pos="8280"/>
          <w:tab w:val="right" w:pos="9000" w:leader="none"/>
        </w:tabs>
        <w:ind w:end="-1170"/>
        <w:rPr>
          <w:b w:val="false"/>
        </w:rPr>
      </w:pPr>
      <w:r>
        <w:rPr>
          <w:b w:val="false"/>
        </w:rPr>
        <w:t>June 2000 – Present:</w:t>
        <w:tab/>
        <w:t>Senior Counsel, Enron Global Exploration &amp; Production Inc., Houston</w:t>
        <w:tab/>
      </w:r>
    </w:p>
    <w:p>
      <w:pPr>
        <w:pStyle w:val="Heading1"/>
        <w:tabs>
          <w:tab w:val="clear" w:pos="8280"/>
          <w:tab w:val="right" w:pos="9000" w:leader="none"/>
        </w:tabs>
        <w:ind w:end="-1170"/>
        <w:rPr>
          <w:b w:val="false"/>
        </w:rPr>
      </w:pPr>
      <w:r>
        <w:rPr>
          <w:b w:val="false"/>
        </w:rPr>
      </w:r>
    </w:p>
    <w:p>
      <w:pPr>
        <w:pStyle w:val="Heading1"/>
        <w:tabs>
          <w:tab w:val="clear" w:pos="8280"/>
          <w:tab w:val="right" w:pos="9000" w:leader="none"/>
        </w:tabs>
        <w:ind w:end="-1170"/>
        <w:rPr>
          <w:b w:val="false"/>
        </w:rPr>
      </w:pPr>
      <w:r>
        <w:rPr>
          <w:b w:val="false"/>
        </w:rPr>
        <w:t>October 1995 – May 2000:</w:t>
        <w:tab/>
        <w:t>Senior Attorney, Texaco Inc., New York/Houston</w:t>
      </w:r>
    </w:p>
    <w:p>
      <w:pPr>
        <w:pStyle w:val="Normal"/>
        <w:rPr>
          <w:b/>
        </w:rPr>
      </w:pPr>
      <w:r>
        <w:rPr>
          <w:b/>
        </w:rPr>
      </w:r>
    </w:p>
    <w:p>
      <w:pPr>
        <w:pStyle w:val="Heading1"/>
        <w:tabs>
          <w:tab w:val="clear" w:pos="8280"/>
          <w:tab w:val="right" w:pos="9000" w:leader="none"/>
        </w:tabs>
        <w:ind w:end="-1170"/>
        <w:rPr>
          <w:b w:val="false"/>
        </w:rPr>
      </w:pPr>
      <w:r>
        <w:rPr>
          <w:b w:val="false"/>
        </w:rPr>
        <w:t>January 1993 – October 1995:</w:t>
        <w:tab/>
        <w:t>Head of Asset Trading, Texaco Ltd, London</w:t>
      </w:r>
    </w:p>
    <w:p>
      <w:pPr>
        <w:pStyle w:val="Normal"/>
        <w:rPr>
          <w:b/>
        </w:rPr>
      </w:pPr>
      <w:r>
        <w:rPr>
          <w:b/>
        </w:rPr>
      </w:r>
    </w:p>
    <w:p>
      <w:pPr>
        <w:pStyle w:val="Heading1"/>
        <w:tabs>
          <w:tab w:val="clear" w:pos="8280"/>
          <w:tab w:val="right" w:pos="9000" w:leader="none"/>
        </w:tabs>
        <w:ind w:end="-1170"/>
        <w:rPr>
          <w:b w:val="false"/>
        </w:rPr>
      </w:pPr>
      <w:r>
        <w:rPr>
          <w:b w:val="false"/>
        </w:rPr>
        <w:t>September 1990 – January 1993:</w:t>
        <w:tab/>
        <w:t>Senior Attorney, Texaco Ltd, London</w:t>
      </w:r>
    </w:p>
    <w:p>
      <w:pPr>
        <w:pStyle w:val="Normal"/>
        <w:rPr>
          <w:b/>
        </w:rPr>
      </w:pPr>
      <w:r>
        <w:rPr>
          <w:b/>
        </w:rPr>
      </w:r>
    </w:p>
    <w:p>
      <w:pPr>
        <w:pStyle w:val="Heading1"/>
        <w:tabs>
          <w:tab w:val="clear" w:pos="8280"/>
          <w:tab w:val="right" w:pos="9000" w:leader="none"/>
        </w:tabs>
        <w:ind w:end="-1170"/>
        <w:rPr>
          <w:b w:val="false"/>
        </w:rPr>
      </w:pPr>
      <w:r>
        <w:rPr>
          <w:b w:val="false"/>
        </w:rPr>
        <w:t>May 1988 – September 1990:</w:t>
        <w:tab/>
        <w:t>Attorney, Amerada Hess Ltd, London</w:t>
      </w:r>
    </w:p>
    <w:p>
      <w:pPr>
        <w:pStyle w:val="Normal"/>
        <w:rPr>
          <w:b/>
        </w:rPr>
      </w:pPr>
      <w:r>
        <w:rPr>
          <w:b/>
        </w:rPr>
      </w:r>
    </w:p>
    <w:p>
      <w:pPr>
        <w:pStyle w:val="Heading1"/>
        <w:tabs>
          <w:tab w:val="clear" w:pos="8280"/>
          <w:tab w:val="right" w:pos="9000" w:leader="none"/>
        </w:tabs>
        <w:ind w:end="-1170"/>
        <w:rPr>
          <w:b w:val="false"/>
        </w:rPr>
      </w:pPr>
      <w:r>
        <w:rPr>
          <w:b w:val="false"/>
        </w:rPr>
        <w:t>November 1986 – May 1988:</w:t>
        <w:tab/>
        <w:t>Claims Executive, Thomas Millar Ltd, London</w:t>
      </w:r>
    </w:p>
    <w:p>
      <w:pPr>
        <w:pStyle w:val="Normal"/>
        <w:rPr>
          <w:b/>
        </w:rPr>
      </w:pPr>
      <w:r>
        <w:rPr>
          <w:b/>
        </w:rPr>
      </w:r>
    </w:p>
    <w:p>
      <w:pPr>
        <w:pStyle w:val="Heading1"/>
        <w:tabs>
          <w:tab w:val="clear" w:pos="8280"/>
          <w:tab w:val="right" w:pos="9000" w:leader="none"/>
        </w:tabs>
        <w:ind w:end="-1170"/>
        <w:rPr>
          <w:b w:val="false"/>
        </w:rPr>
      </w:pPr>
      <w:r>
        <w:rPr>
          <w:b w:val="false"/>
        </w:rPr>
        <w:t>October 1985 – November 1986:</w:t>
        <w:tab/>
        <w:t>Pupilage, 1 Garden Court, Temple, London</w:t>
      </w:r>
    </w:p>
    <w:p>
      <w:pPr>
        <w:pStyle w:val="Normal"/>
        <w:rPr>
          <w:b/>
        </w:rPr>
      </w:pPr>
      <w:r>
        <w:rPr>
          <w:b/>
        </w:rPr>
      </w:r>
    </w:p>
    <w:p>
      <w:pPr>
        <w:pStyle w:val="Normal"/>
        <w:rPr/>
      </w:pPr>
      <w:r>
        <w:rPr/>
      </w:r>
    </w:p>
    <w:p>
      <w:pPr>
        <w:pStyle w:val="Heading4"/>
        <w:ind w:hanging="0" w:start="0"/>
        <w:rPr>
          <w:u w:val="single"/>
        </w:rPr>
      </w:pPr>
      <w:r>
        <w:rPr>
          <w:u w:val="single"/>
        </w:rPr>
        <w:t>EDUCATION</w:t>
      </w:r>
    </w:p>
    <w:p>
      <w:pPr>
        <w:pStyle w:val="Normal"/>
        <w:rPr>
          <w:u w:val="single"/>
        </w:rPr>
      </w:pPr>
      <w:r>
        <w:rPr>
          <w:u w:val="single"/>
        </w:rPr>
      </w:r>
    </w:p>
    <w:p>
      <w:pPr>
        <w:pStyle w:val="Heading1"/>
        <w:tabs>
          <w:tab w:val="clear" w:pos="8280"/>
          <w:tab w:val="right" w:pos="9000" w:leader="none"/>
        </w:tabs>
        <w:ind w:end="-1170"/>
        <w:rPr>
          <w:b w:val="false"/>
        </w:rPr>
      </w:pPr>
      <w:r>
        <w:rPr>
          <w:b w:val="false"/>
        </w:rPr>
        <w:t>1984 - 1985:</w:t>
        <w:tab/>
        <w:t>Inns of Court School of Law (UK)</w:t>
      </w:r>
    </w:p>
    <w:p>
      <w:pPr>
        <w:pStyle w:val="Heading1"/>
        <w:tabs>
          <w:tab w:val="clear" w:pos="8280"/>
          <w:tab w:val="right" w:pos="9000" w:leader="none"/>
        </w:tabs>
        <w:ind w:end="-1170"/>
        <w:rPr>
          <w:b w:val="false"/>
        </w:rPr>
      </w:pPr>
      <w:r>
        <w:rPr>
          <w:b w:val="false"/>
        </w:rPr>
        <w:tab/>
        <w:t>Admitted as a Barrister, November 1986</w:t>
      </w:r>
    </w:p>
    <w:p>
      <w:pPr>
        <w:pStyle w:val="Normal"/>
        <w:rPr>
          <w:b/>
        </w:rPr>
      </w:pPr>
      <w:r>
        <w:rPr>
          <w:b/>
        </w:rPr>
      </w:r>
    </w:p>
    <w:p>
      <w:pPr>
        <w:pStyle w:val="Heading1"/>
        <w:tabs>
          <w:tab w:val="clear" w:pos="8280"/>
          <w:tab w:val="right" w:pos="9000" w:leader="none"/>
        </w:tabs>
        <w:ind w:end="-1170"/>
        <w:rPr>
          <w:b w:val="false"/>
        </w:rPr>
      </w:pPr>
      <w:r>
        <w:rPr>
          <w:b w:val="false"/>
        </w:rPr>
        <w:t>1980 - 1983:</w:t>
        <w:tab/>
        <w:t>London School of Economics and Political Science (UK)</w:t>
      </w:r>
    </w:p>
    <w:p>
      <w:pPr>
        <w:pStyle w:val="Heading1"/>
        <w:tabs>
          <w:tab w:val="clear" w:pos="8280"/>
          <w:tab w:val="right" w:pos="9000" w:leader="none"/>
        </w:tabs>
        <w:ind w:end="-1170"/>
        <w:rPr>
          <w:b w:val="false"/>
        </w:rPr>
      </w:pPr>
      <w:r>
        <w:rPr>
          <w:b w:val="false"/>
        </w:rPr>
        <w:tab/>
        <w:t xml:space="preserve">Degree: LLB (Hons). Upper Second Class (top 10% of class) </w:t>
      </w:r>
    </w:p>
    <w:p>
      <w:pPr>
        <w:pStyle w:val="Normal"/>
        <w:rPr/>
      </w:pPr>
      <w:r>
        <w:rPr/>
        <w:tab/>
      </w:r>
    </w:p>
    <w:p>
      <w:pPr>
        <w:pStyle w:val="Heading1"/>
        <w:tabs>
          <w:tab w:val="clear" w:pos="8280"/>
          <w:tab w:val="right" w:pos="9000" w:leader="none"/>
        </w:tabs>
        <w:ind w:end="-1170"/>
        <w:rPr>
          <w:b w:val="false"/>
        </w:rPr>
      </w:pPr>
      <w:r>
        <w:rPr>
          <w:b w:val="false"/>
        </w:rPr>
        <w:t>1971 - 1979:</w:t>
        <w:tab/>
        <w:t>St Philip’s Grammar School/Matthew Boulton College (UK)</w:t>
      </w:r>
    </w:p>
    <w:p>
      <w:pPr>
        <w:pStyle w:val="Heading1"/>
        <w:tabs>
          <w:tab w:val="clear" w:pos="8280"/>
          <w:tab w:val="right" w:pos="9000" w:leader="none"/>
        </w:tabs>
        <w:ind w:end="-1170"/>
        <w:rPr>
          <w:b w:val="false"/>
        </w:rPr>
      </w:pPr>
      <w:r>
        <w:rPr>
          <w:b w:val="false"/>
        </w:rPr>
        <w:tab/>
        <w:t>8 ‘O’ Levels, 3 ‘A’ Levels</w:t>
      </w:r>
    </w:p>
    <w:p>
      <w:pPr>
        <w:pStyle w:val="Normal"/>
        <w:rPr>
          <w:b/>
        </w:rPr>
      </w:pPr>
      <w:r>
        <w:rPr>
          <w:b/>
        </w:rPr>
      </w:r>
    </w:p>
    <w:p>
      <w:pPr>
        <w:pStyle w:val="Normal"/>
        <w:rPr/>
      </w:pPr>
      <w:r>
        <w:rPr/>
      </w:r>
    </w:p>
    <w:p>
      <w:pPr>
        <w:pStyle w:val="Heading4"/>
        <w:ind w:hanging="0" w:start="0"/>
        <w:rPr>
          <w:u w:val="single"/>
        </w:rPr>
      </w:pPr>
      <w:r>
        <w:rPr>
          <w:u w:val="single"/>
        </w:rPr>
        <w:t>PERSONAL</w:t>
      </w:r>
    </w:p>
    <w:p>
      <w:pPr>
        <w:pStyle w:val="Normal"/>
        <w:rPr>
          <w:u w:val="single"/>
        </w:rPr>
      </w:pPr>
      <w:r>
        <w:rPr>
          <w:u w:val="single"/>
        </w:rPr>
      </w:r>
    </w:p>
    <w:p>
      <w:pPr>
        <w:pStyle w:val="Heading1"/>
        <w:tabs>
          <w:tab w:val="clear" w:pos="8280"/>
          <w:tab w:val="right" w:pos="9000" w:leader="none"/>
        </w:tabs>
        <w:ind w:end="-1170"/>
        <w:rPr>
          <w:b w:val="false"/>
        </w:rPr>
      </w:pPr>
      <w:r>
        <w:rPr>
          <w:b w:val="false"/>
        </w:rPr>
        <w:t>Date of Birth:</w:t>
        <w:tab/>
        <w:t>April 3, 1961</w:t>
      </w:r>
    </w:p>
    <w:p>
      <w:pPr>
        <w:pStyle w:val="Normal"/>
        <w:rPr>
          <w:b/>
        </w:rPr>
      </w:pPr>
      <w:r>
        <w:rPr>
          <w:b/>
        </w:rPr>
      </w:r>
    </w:p>
    <w:p>
      <w:pPr>
        <w:pStyle w:val="Heading1"/>
        <w:tabs>
          <w:tab w:val="clear" w:pos="8280"/>
          <w:tab w:val="right" w:pos="9000" w:leader="none"/>
        </w:tabs>
        <w:ind w:end="-1170"/>
        <w:rPr>
          <w:b w:val="false"/>
        </w:rPr>
      </w:pPr>
      <w:r>
        <w:rPr>
          <w:b w:val="false"/>
        </w:rPr>
        <w:t>Nationality:</w:t>
        <w:tab/>
        <w:t>British – Permanent Rights of Residency in USA</w:t>
      </w:r>
    </w:p>
    <w:p>
      <w:pPr>
        <w:pStyle w:val="Heading1"/>
        <w:tabs>
          <w:tab w:val="clear" w:pos="8280"/>
          <w:tab w:val="right" w:pos="8190" w:leader="none"/>
        </w:tabs>
        <w:ind w:end="-1170"/>
        <w:rPr/>
      </w:pPr>
      <w:r>
        <w:rPr/>
        <w:tab/>
        <w:tab/>
      </w:r>
    </w:p>
    <w:p>
      <w:pPr>
        <w:pStyle w:val="Heading1"/>
        <w:tabs>
          <w:tab w:val="clear" w:pos="8280"/>
          <w:tab w:val="right" w:pos="9000" w:leader="none"/>
        </w:tabs>
        <w:ind w:end="-1170"/>
        <w:rPr>
          <w:b w:val="false"/>
        </w:rPr>
      </w:pPr>
      <w:r>
        <w:rPr>
          <w:b w:val="false"/>
        </w:rPr>
        <w:t>Marital Status:</w:t>
        <w:tab/>
        <w:t>Married – 2 children</w:t>
      </w:r>
    </w:p>
    <w:p>
      <w:pPr>
        <w:pStyle w:val="Normal"/>
        <w:rPr>
          <w:b/>
        </w:rPr>
      </w:pPr>
      <w:r>
        <w:rPr>
          <w:b/>
        </w:rPr>
      </w:r>
    </w:p>
    <w:p>
      <w:pPr>
        <w:pStyle w:val="Heading1"/>
        <w:tabs>
          <w:tab w:val="clear" w:pos="8280"/>
          <w:tab w:val="right" w:pos="9000" w:leader="none"/>
        </w:tabs>
        <w:ind w:end="-1170"/>
        <w:rPr>
          <w:b w:val="false"/>
        </w:rPr>
      </w:pPr>
      <w:r>
        <w:rPr>
          <w:b w:val="false"/>
        </w:rPr>
        <w:t>Hobbies/Interests:</w:t>
        <w:tab/>
        <w:t>Reading, cinema, sports</w:t>
      </w:r>
    </w:p>
    <w:p>
      <w:pPr>
        <w:pStyle w:val="Heading3"/>
        <w:ind w:end="0"/>
        <w:rPr>
          <w:b w:val="false"/>
        </w:rPr>
      </w:pPr>
      <w:r>
        <w:rPr>
          <w:b w:val="false"/>
        </w:rPr>
      </w:r>
    </w:p>
    <w:p>
      <w:pPr>
        <w:pStyle w:val="Heading3"/>
        <w:ind w:end="0"/>
        <w:rPr>
          <w:b w:val="false"/>
        </w:rPr>
      </w:pPr>
      <w:r>
        <w:rPr>
          <w:b w:val="false"/>
        </w:rPr>
      </w:r>
    </w:p>
    <w:p>
      <w:pPr>
        <w:pStyle w:val="Heading3"/>
        <w:ind w:end="0"/>
        <w:rPr>
          <w:b w:val="false"/>
          <w:u w:val="single"/>
        </w:rPr>
      </w:pPr>
      <w:r>
        <w:rPr>
          <w:b w:val="false"/>
          <w:u w:val="single"/>
        </w:rPr>
      </w:r>
    </w:p>
    <w:p>
      <w:pPr>
        <w:pStyle w:val="Heading3"/>
        <w:ind w:end="0"/>
        <w:rPr>
          <w:u w:val="single"/>
        </w:rPr>
      </w:pPr>
      <w:r>
        <w:rPr>
          <w:u w:val="single"/>
        </w:rPr>
      </w:r>
    </w:p>
    <w:p>
      <w:pPr>
        <w:pStyle w:val="Heading3"/>
        <w:ind w:end="0"/>
        <w:rPr/>
      </w:pPr>
      <w:r>
        <w:rPr/>
        <w:t>References will be made available on request.</w:t>
      </w:r>
      <w:r>
        <w:br w:type="page"/>
      </w:r>
    </w:p>
    <w:p>
      <w:pPr>
        <w:pStyle w:val="Heading3"/>
        <w:ind w:end="0"/>
        <w:rPr/>
      </w:pPr>
      <w:r>
        <w:rPr/>
        <w:t>Dominic E Carolan</w:t>
      </w:r>
    </w:p>
    <w:p>
      <w:pPr>
        <w:pStyle w:val="Heading3"/>
        <w:ind w:end="0"/>
        <w:rPr/>
      </w:pPr>
      <w:r>
        <w:rPr>
          <w:u w:val="single"/>
        </w:rPr>
        <w:t>EMPLOYMENT DETAILS:</w:t>
      </w:r>
      <w:r>
        <w:rPr/>
        <w:tab/>
        <w:tab/>
        <w:tab/>
      </w:r>
      <w:r>
        <w:rPr>
          <w:u w:val="single"/>
        </w:rPr>
        <w:t>SEPTEMBER 1990 – TO PRESENT</w:t>
      </w:r>
    </w:p>
    <w:p>
      <w:pPr>
        <w:pStyle w:val="Normal"/>
        <w:rPr/>
      </w:pPr>
      <w:r>
        <w:rPr/>
      </w:r>
    </w:p>
    <w:p>
      <w:pPr>
        <w:pStyle w:val="Normal"/>
        <w:rPr>
          <w:b/>
        </w:rPr>
      </w:pPr>
      <w:r>
        <w:rPr>
          <w:b/>
        </w:rPr>
        <w:t>Senior Counsel</w:t>
      </w:r>
    </w:p>
    <w:p>
      <w:pPr>
        <w:pStyle w:val="Normal"/>
        <w:rPr>
          <w:b/>
        </w:rPr>
      </w:pPr>
      <w:r>
        <w:rPr>
          <w:b/>
        </w:rPr>
        <w:t>Enron Global Exploration &amp; Production Inc: June 2000 – to present</w:t>
      </w:r>
    </w:p>
    <w:p>
      <w:pPr>
        <w:pStyle w:val="Heading4"/>
        <w:ind w:hanging="0" w:start="0"/>
        <w:rPr/>
      </w:pPr>
      <w:r>
        <w:rPr/>
        <w:t>Houston</w:t>
      </w:r>
    </w:p>
    <w:p>
      <w:pPr>
        <w:pStyle w:val="Normal"/>
        <w:rPr>
          <w:b/>
        </w:rPr>
      </w:pPr>
      <w:r>
        <w:rPr>
          <w:b/>
        </w:rPr>
      </w:r>
    </w:p>
    <w:p>
      <w:pPr>
        <w:pStyle w:val="BodyText"/>
        <w:rPr/>
      </w:pPr>
      <w:r>
        <w:rPr/>
        <w:t>International commercial practice. Role involving the provision of legal and commercial services to Enron's upstream businesses (exploration and production) in China, United Kingdom, Middle East, India and Turkey. Reported to Assistant General Counsel. Responsibilities and achievements include:</w:t>
      </w:r>
    </w:p>
    <w:p>
      <w:pPr>
        <w:pStyle w:val="BodyText"/>
        <w:rPr/>
      </w:pPr>
      <w:r>
        <w:rPr/>
      </w:r>
    </w:p>
    <w:p>
      <w:pPr>
        <w:pStyle w:val="Normal"/>
        <w:numPr>
          <w:ilvl w:val="0"/>
          <w:numId w:val="5"/>
        </w:numPr>
        <w:jc w:val="both"/>
        <w:rPr/>
      </w:pPr>
      <w:r>
        <w:rPr/>
        <w:t>Acting as lead counsel in drafting, negotiating and approving agreements and transactions relating to joint ventures, asset/stock acquisitions and disposals, gas sales and transportation, forward sales, production sharing agreements, service arrangements.</w:t>
      </w:r>
    </w:p>
    <w:p>
      <w:pPr>
        <w:pStyle w:val="Normal"/>
        <w:numPr>
          <w:ilvl w:val="0"/>
          <w:numId w:val="5"/>
        </w:numPr>
        <w:jc w:val="both"/>
        <w:rPr/>
      </w:pPr>
      <w:r>
        <w:rPr/>
        <w:t>Providing legal and commercial advice to the relevant business units in areas such as risk assessment/allocation, project evaluation, bid formulation, strategy formulation, presentations to senior management.</w:t>
      </w:r>
    </w:p>
    <w:p>
      <w:pPr>
        <w:pStyle w:val="Normal"/>
        <w:numPr>
          <w:ilvl w:val="0"/>
          <w:numId w:val="4"/>
        </w:numPr>
        <w:rPr/>
      </w:pPr>
      <w:r>
        <w:rPr/>
        <w:t>Establishing and maintaining strong partnerships with client groups/senior management.</w:t>
      </w:r>
    </w:p>
    <w:p>
      <w:pPr>
        <w:pStyle w:val="Normal"/>
        <w:numPr>
          <w:ilvl w:val="0"/>
          <w:numId w:val="5"/>
        </w:numPr>
        <w:jc w:val="both"/>
        <w:rPr/>
      </w:pPr>
      <w:r>
        <w:rPr/>
        <w:t>Providing advice, as appropriate, in relation to the legislative/statutory regimes of relevant foreign jurisdictions.</w:t>
      </w:r>
    </w:p>
    <w:p>
      <w:pPr>
        <w:pStyle w:val="Normal"/>
        <w:numPr>
          <w:ilvl w:val="0"/>
          <w:numId w:val="3"/>
        </w:numPr>
        <w:rPr/>
      </w:pPr>
      <w:r>
        <w:rPr/>
        <w:t>Maintaining an authoritative knowledge of new and existing laws, legislation and legal/commercial trends significant to the business units’ activities.</w:t>
      </w:r>
    </w:p>
    <w:p>
      <w:pPr>
        <w:pStyle w:val="Normal"/>
        <w:rPr/>
      </w:pPr>
      <w:r>
        <w:rPr/>
      </w:r>
    </w:p>
    <w:p>
      <w:pPr>
        <w:pStyle w:val="Heading1"/>
        <w:tabs>
          <w:tab w:val="clear" w:pos="8280"/>
          <w:tab w:val="right" w:pos="9090" w:leader="none"/>
        </w:tabs>
        <w:ind w:end="-1170"/>
        <w:rPr/>
      </w:pPr>
      <w:r>
        <w:rPr/>
        <w:t>Senior Attorney</w:t>
        <w:tab/>
        <w:t xml:space="preserve"> </w:t>
      </w:r>
    </w:p>
    <w:p>
      <w:pPr>
        <w:pStyle w:val="Heading1"/>
        <w:tabs>
          <w:tab w:val="clear" w:pos="8280"/>
          <w:tab w:val="right" w:pos="9090" w:leader="none"/>
        </w:tabs>
        <w:ind w:end="-1170"/>
        <w:rPr/>
      </w:pPr>
      <w:r>
        <w:rPr/>
        <w:t xml:space="preserve">Texaco Inc: September 1990 – January 1993 and October 1995 – May 2000 </w:t>
        <w:tab/>
      </w:r>
    </w:p>
    <w:p>
      <w:pPr>
        <w:pStyle w:val="Heading4"/>
        <w:ind w:hanging="0" w:start="0"/>
        <w:rPr/>
      </w:pPr>
      <w:r>
        <w:rPr/>
        <w:t>Houston/New York/London</w:t>
      </w:r>
    </w:p>
    <w:p>
      <w:pPr>
        <w:pStyle w:val="Normal"/>
        <w:rPr/>
      </w:pPr>
      <w:r>
        <w:rPr/>
      </w:r>
    </w:p>
    <w:p>
      <w:pPr>
        <w:pStyle w:val="BodyText"/>
        <w:rPr/>
      </w:pPr>
      <w:r>
        <w:rPr/>
        <w:t>International commercial practice. Responsibilities and achievements substantially similar to those described above in relation to Enron. In addition, acted as lead counsel in a number of privatisations, global contracting alliances, oil and gas unitisations. Practice areas were Kazakstan, China, Myanmar, Italy, Nigeria, Bangladesh, Trinidad, Turkmenistan, Azerbaijan, Angola and the United Kingdom. Reported to Assistant General Counsel.</w:t>
      </w:r>
    </w:p>
    <w:p>
      <w:pPr>
        <w:pStyle w:val="Normal"/>
        <w:rPr/>
      </w:pPr>
      <w:r>
        <w:rPr/>
      </w:r>
    </w:p>
    <w:p>
      <w:pPr>
        <w:pStyle w:val="Heading1"/>
        <w:tabs>
          <w:tab w:val="clear" w:pos="8280"/>
          <w:tab w:val="right" w:pos="9000" w:leader="none"/>
        </w:tabs>
        <w:ind w:end="-1170"/>
        <w:rPr/>
      </w:pPr>
      <w:r>
        <w:rPr/>
        <w:t>Head of Asset Trading</w:t>
        <w:tab/>
      </w:r>
    </w:p>
    <w:p>
      <w:pPr>
        <w:pStyle w:val="Heading1"/>
        <w:tabs>
          <w:tab w:val="clear" w:pos="8280"/>
          <w:tab w:val="right" w:pos="8190" w:leader="none"/>
        </w:tabs>
        <w:ind w:end="-1170"/>
        <w:rPr/>
      </w:pPr>
      <w:r>
        <w:rPr/>
        <w:t>Texaco Limited: January 1993 – October 1995</w:t>
        <w:tab/>
      </w:r>
    </w:p>
    <w:p>
      <w:pPr>
        <w:pStyle w:val="Heading4"/>
        <w:ind w:hanging="0" w:start="0"/>
        <w:rPr/>
      </w:pPr>
      <w:r>
        <w:rPr/>
        <w:t>London</w:t>
      </w:r>
    </w:p>
    <w:p>
      <w:pPr>
        <w:pStyle w:val="Normal"/>
        <w:rPr>
          <w:b/>
        </w:rPr>
      </w:pPr>
      <w:r>
        <w:rPr>
          <w:b/>
        </w:rPr>
      </w:r>
    </w:p>
    <w:p>
      <w:pPr>
        <w:pStyle w:val="BodyText"/>
        <w:rPr/>
      </w:pPr>
      <w:r>
        <w:rPr/>
        <w:t>As Head of Asset Trading, primary role involved the formulation and implementation of a portfolio management strategy for Texaco Limited’s North Sea assets. Reported to Managing Director. Specific responsibilities and achievements included:</w:t>
      </w:r>
    </w:p>
    <w:p>
      <w:pPr>
        <w:pStyle w:val="BodyText"/>
        <w:rPr/>
      </w:pPr>
      <w:r>
        <w:rPr/>
      </w:r>
    </w:p>
    <w:p>
      <w:pPr>
        <w:pStyle w:val="Normal"/>
        <w:numPr>
          <w:ilvl w:val="0"/>
          <w:numId w:val="2"/>
        </w:numPr>
        <w:jc w:val="both"/>
        <w:rPr/>
      </w:pPr>
      <w:r>
        <w:rPr/>
        <w:t>Establishing an acquisition and disposal strategy for Texaco Limited.</w:t>
      </w:r>
    </w:p>
    <w:p>
      <w:pPr>
        <w:pStyle w:val="Normal"/>
        <w:numPr>
          <w:ilvl w:val="0"/>
          <w:numId w:val="2"/>
        </w:numPr>
        <w:jc w:val="both"/>
        <w:rPr/>
      </w:pPr>
      <w:r>
        <w:rPr/>
        <w:t>Conducting a successful disposal program in relation to Texaco Limited’s non-core assets.</w:t>
      </w:r>
    </w:p>
    <w:p>
      <w:pPr>
        <w:pStyle w:val="Normal"/>
        <w:numPr>
          <w:ilvl w:val="0"/>
          <w:numId w:val="2"/>
        </w:numPr>
        <w:jc w:val="both"/>
        <w:rPr/>
      </w:pPr>
      <w:r>
        <w:rPr/>
        <w:t>Development of effective acquisition and disposal marketing strategies (competitive bids, swaps, selective targeting, preparing and drafting information/marketing memoranda).</w:t>
      </w:r>
    </w:p>
    <w:p>
      <w:pPr>
        <w:pStyle w:val="Normal"/>
        <w:numPr>
          <w:ilvl w:val="0"/>
          <w:numId w:val="2"/>
        </w:numPr>
        <w:jc w:val="both"/>
        <w:rPr/>
      </w:pPr>
      <w:r>
        <w:rPr/>
        <w:t>Data room creation and assessment.</w:t>
      </w:r>
    </w:p>
    <w:p>
      <w:pPr>
        <w:pStyle w:val="Normal"/>
        <w:numPr>
          <w:ilvl w:val="0"/>
          <w:numId w:val="2"/>
        </w:numPr>
        <w:jc w:val="both"/>
        <w:rPr/>
      </w:pPr>
      <w:r>
        <w:rPr/>
        <w:t>Acquiring an in-depth understanding of economic evaluation techniques.</w:t>
      </w:r>
    </w:p>
    <w:p>
      <w:pPr>
        <w:pStyle w:val="Normal"/>
        <w:jc w:val="both"/>
        <w:rPr/>
      </w:pPr>
      <w:r>
        <w:rPr/>
      </w:r>
    </w:p>
    <w:p>
      <w:pPr>
        <w:pStyle w:val="Normal"/>
        <w:jc w:val="both"/>
        <w:rPr/>
      </w:pPr>
      <w:r>
        <w:rPr/>
      </w:r>
    </w:p>
    <w:p>
      <w:pPr>
        <w:pStyle w:val="Normal"/>
        <w:jc w:val="both"/>
        <w:rPr/>
      </w:pPr>
      <w:r>
        <w:rPr/>
        <w:t>----------------------------------------------------------------------------------------------------------------</w:t>
      </w:r>
    </w:p>
    <w:sectPr>
      <w:type w:val="nextPage"/>
      <w:pgSz w:w="11906" w:h="16838"/>
      <w:pgMar w:left="1440" w:right="144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keepNext w:val="true"/>
      <w:numPr>
        <w:ilvl w:val="0"/>
        <w:numId w:val="1"/>
      </w:numPr>
      <w:tabs>
        <w:tab w:val="clear" w:pos="720"/>
        <w:tab w:val="right" w:pos="8280" w:leader="none"/>
      </w:tabs>
      <w:ind w:hanging="0" w:start="0" w:end="386"/>
      <w:outlineLvl w:val="0"/>
    </w:pPr>
    <w:rPr>
      <w:b/>
    </w:rPr>
  </w:style>
  <w:style w:type="paragraph" w:styleId="Heading2">
    <w:name w:val="heading 2"/>
    <w:basedOn w:val="Normal"/>
    <w:next w:val="Normal"/>
    <w:qFormat/>
    <w:pPr>
      <w:keepNext w:val="true"/>
      <w:numPr>
        <w:ilvl w:val="1"/>
        <w:numId w:val="1"/>
      </w:numPr>
      <w:tabs>
        <w:tab w:val="clear" w:pos="720"/>
        <w:tab w:val="decimal" w:pos="8280" w:leader="none"/>
      </w:tabs>
      <w:ind w:hanging="0" w:start="0" w:end="360"/>
      <w:outlineLvl w:val="1"/>
    </w:pPr>
    <w:rPr>
      <w:b/>
      <w:u w:val="single"/>
    </w:rPr>
  </w:style>
  <w:style w:type="paragraph" w:styleId="Heading3">
    <w:name w:val="heading 3"/>
    <w:basedOn w:val="Normal"/>
    <w:next w:val="Normal"/>
    <w:qFormat/>
    <w:pPr>
      <w:keepNext w:val="true"/>
      <w:numPr>
        <w:ilvl w:val="2"/>
        <w:numId w:val="1"/>
      </w:numPr>
      <w:ind w:hanging="0" w:start="0" w:end="-1170"/>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jc w:val="both"/>
      <w:outlineLvl w:val="4"/>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2001-03-01T13:33:00Z</dcterms:created>
  <dc:creator>DOMINIC CAROLAN</dc:creator>
  <dc:description/>
  <dc:language>en-CA</dc:language>
  <cp:lastModifiedBy>sdivelbi</cp:lastModifiedBy>
  <cp:lastPrinted>2000-11-01T08:45:00Z</cp:lastPrinted>
  <dcterms:modified xsi:type="dcterms:W3CDTF">2001-03-01T13:33:00Z</dcterms:modified>
  <cp:revision>2</cp:revision>
  <dc:subject/>
  <dc:title>Dominic E Carolan</dc:title>
</cp:coreProperties>
</file>