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rFonts w:ascii="Times New Roman" w:hAnsi="Times New Roman" w:cs="Times New Roman"/>
          <w:sz w:val="24"/>
        </w:rPr>
      </w:pPr>
      <w:r>
        <w:rPr>
          <w:rFonts w:cs="Times New Roman" w:ascii="Times New Roman" w:hAnsi="Times New Roman"/>
          <w:sz w:val="24"/>
        </w:rPr>
        <w:t>ENRON CORP.</w:t>
      </w:r>
    </w:p>
    <w:p>
      <w:pPr>
        <w:pStyle w:val="Normal"/>
        <w:ind w:end="180"/>
        <w:jc w:val="center"/>
        <w:rPr>
          <w:rFonts w:ascii="Times New Roman" w:hAnsi="Times New Roman" w:cs="Times New Roman"/>
          <w:sz w:val="24"/>
        </w:rPr>
      </w:pPr>
      <w:r>
        <w:rPr>
          <w:rFonts w:cs="Times New Roman" w:ascii="Times New Roman" w:hAnsi="Times New Roman"/>
          <w:sz w:val="24"/>
        </w:rPr>
      </w:r>
    </w:p>
    <w:p>
      <w:pPr>
        <w:pStyle w:val="Normal"/>
        <w:spacing w:lineRule="exact" w:line="240"/>
        <w:ind w:end="180"/>
        <w:jc w:val="center"/>
        <w:rPr>
          <w:rFonts w:ascii="Times New Roman" w:hAnsi="Times New Roman" w:cs="Times New Roman"/>
          <w:sz w:val="24"/>
        </w:rPr>
      </w:pPr>
      <w:r>
        <w:rPr>
          <w:rFonts w:cs="Times New Roman" w:ascii="Times New Roman" w:hAnsi="Times New Roman"/>
          <w:sz w:val="24"/>
          <w:u w:val="single"/>
        </w:rPr>
        <w:t>Guaranty</w:t>
      </w:r>
    </w:p>
    <w:p>
      <w:pPr>
        <w:pStyle w:val="Normal"/>
        <w:ind w:end="18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t>This Guaranty Agreement (the “Guaranty”), dated as of October 1, 1999, is made and entered into by Enron Corp., an Oregon corporation (“Guarantor”).</w:t>
      </w:r>
    </w:p>
    <w:p>
      <w:pPr>
        <w:pStyle w:val="Normal"/>
        <w:keepNext w:val="true"/>
        <w:spacing w:lineRule="exact" w:line="240" w:before="480" w:after="0"/>
        <w:jc w:val="center"/>
        <w:rPr>
          <w:rFonts w:ascii="Times New Roman" w:hAnsi="Times New Roman" w:cs="Times New Roman"/>
          <w:b/>
          <w:caps/>
          <w:sz w:val="24"/>
        </w:rPr>
      </w:pPr>
      <w:r>
        <w:rPr>
          <w:rFonts w:cs="Times New Roman" w:ascii="Times New Roman" w:hAnsi="Times New Roman"/>
          <w:b/>
          <w:caps/>
          <w:sz w:val="24"/>
        </w:rPr>
        <w:t>W I T N E S S E T H:</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Times New Roman" w:hAnsi="Times New Roman" w:cs="Times New Roman"/>
          <w:b/>
          <w:caps/>
          <w:sz w:val="22"/>
        </w:rPr>
      </w:pPr>
      <w:r>
        <w:rPr>
          <w:rFonts w:cs="Times New Roman" w:ascii="Times New Roman" w:hAnsi="Times New Roman"/>
          <w:b/>
          <w:caps/>
          <w:sz w:val="22"/>
        </w:rPr>
      </w:r>
    </w:p>
    <w:p>
      <w:pPr>
        <w:pStyle w:val="Normal"/>
        <w:suppressAutoHyphens w:val="true"/>
        <w:ind w:firstLine="720" w:end="0"/>
        <w:jc w:val="both"/>
        <w:rPr/>
      </w:pPr>
      <w:r>
        <w:rPr>
          <w:rFonts w:cs="Times New Roman" w:ascii="Times New Roman" w:hAnsi="Times New Roman"/>
          <w:spacing w:val="-3"/>
          <w:sz w:val="24"/>
        </w:rPr>
        <w:t xml:space="preserve">WHEREAS, Cargill Incorporated, Cargill Energy Trading Canada, Inc., Cargill International S.A. - Geneva Branch, and Cargill International S.A. - Singapore Branch (collectively “Counterparty”) have </w:t>
      </w:r>
      <w:del w:id="0" w:author="kaye ellis" w:date="2000-01-05T15:54:00Z">
        <w:r>
          <w:rPr>
            <w:rFonts w:cs="Times New Roman" w:ascii="Times New Roman" w:hAnsi="Times New Roman"/>
            <w:spacing w:val="-3"/>
            <w:sz w:val="24"/>
          </w:rPr>
          <w:delText xml:space="preserve">agreed </w:delText>
        </w:r>
      </w:del>
      <w:ins w:id="1" w:author="kaye ellis" w:date="2000-01-05T16:10:00Z">
        <w:r>
          <w:rPr>
            <w:rFonts w:cs="Times New Roman" w:ascii="Times New Roman" w:hAnsi="Times New Roman"/>
            <w:spacing w:val="-3"/>
            <w:sz w:val="24"/>
          </w:rPr>
          <w:t xml:space="preserve">entered into or will </w:t>
        </w:r>
      </w:ins>
      <w:del w:id="2" w:author="kaye ellis" w:date="2000-01-05T15:54:00Z">
        <w:r>
          <w:rPr>
            <w:rFonts w:cs="Times New Roman" w:ascii="Times New Roman" w:hAnsi="Times New Roman"/>
            <w:spacing w:val="-3"/>
            <w:sz w:val="24"/>
          </w:rPr>
          <w:delText xml:space="preserve">to </w:delText>
        </w:r>
      </w:del>
      <w:r>
        <w:rPr>
          <w:rFonts w:cs="Times New Roman" w:ascii="Times New Roman" w:hAnsi="Times New Roman"/>
          <w:spacing w:val="-3"/>
          <w:sz w:val="24"/>
        </w:rPr>
        <w:t xml:space="preserve">enter into transactions for </w:t>
      </w:r>
      <w:ins w:id="3" w:author="kaye ellis" w:date="2000-01-05T16:10:00Z">
        <w:r>
          <w:rPr>
            <w:rFonts w:cs="Times New Roman" w:ascii="Times New Roman" w:hAnsi="Times New Roman"/>
            <w:spacing w:val="-3"/>
            <w:sz w:val="24"/>
          </w:rPr>
          <w:t xml:space="preserve">(i) </w:t>
        </w:r>
      </w:ins>
      <w:r>
        <w:rPr>
          <w:rFonts w:cs="Times New Roman" w:ascii="Times New Roman" w:hAnsi="Times New Roman"/>
          <w:spacing w:val="-3"/>
          <w:sz w:val="24"/>
        </w:rPr>
        <w:t xml:space="preserve">the purchase, sale and/or exchange of natural gas or other petroleum products pursuant to contract(s) and/or division order(s) </w:t>
      </w:r>
      <w:ins w:id="4" w:author="kaye ellis" w:date="2000-01-05T16:10:00Z">
        <w:r>
          <w:rPr>
            <w:rFonts w:cs="Times New Roman" w:ascii="Times New Roman" w:hAnsi="Times New Roman"/>
            <w:spacing w:val="-3"/>
            <w:sz w:val="24"/>
          </w:rPr>
          <w:t>and (ii) one or more swap, option or other financially-settled derivative transactions pursuant to confirmations and/or a Master Agreement, as the same may from time to time be modified, amended and suplemented</w:t>
        </w:r>
      </w:ins>
      <w:ins w:id="5" w:author="kaye ellis" w:date="2000-01-05T17:16:00Z">
        <w:r>
          <w:rPr>
            <w:rFonts w:cs="Times New Roman" w:ascii="Times New Roman" w:hAnsi="Times New Roman"/>
            <w:spacing w:val="-3"/>
            <w:sz w:val="24"/>
          </w:rPr>
          <w:t>,</w:t>
        </w:r>
      </w:ins>
      <w:ins w:id="6" w:author="kaye ellis" w:date="2000-01-05T16:10:00Z">
        <w:r>
          <w:rPr>
            <w:rFonts w:cs="Times New Roman" w:ascii="Times New Roman" w:hAnsi="Times New Roman"/>
            <w:spacing w:val="-3"/>
            <w:sz w:val="24"/>
          </w:rPr>
          <w:t xml:space="preserve"> </w:t>
        </w:r>
      </w:ins>
      <w:del w:id="7" w:author="kaye ellis" w:date="2000-01-05T15:56:00Z">
        <w:r>
          <w:rPr>
            <w:rFonts w:cs="Times New Roman" w:ascii="Times New Roman" w:hAnsi="Times New Roman"/>
            <w:spacing w:val="-3"/>
            <w:sz w:val="24"/>
          </w:rPr>
          <w:delText xml:space="preserve">(the “Agreements”) </w:delText>
        </w:r>
      </w:del>
      <w:r>
        <w:rPr>
          <w:rFonts w:cs="Times New Roman" w:ascii="Times New Roman" w:hAnsi="Times New Roman"/>
          <w:spacing w:val="-3"/>
          <w:sz w:val="24"/>
        </w:rPr>
        <w:t>with Enron North America Corp., Enron Canada Corp., Enron Gas Liquids, Inc., Enron Liquid Fuels, Inc., Enron Reserve Acquisition Corp.</w:t>
      </w:r>
      <w:del w:id="8" w:author="kaye ellis" w:date="2000-01-05T17:16:00Z">
        <w:r>
          <w:rPr>
            <w:rFonts w:cs="Times New Roman" w:ascii="Times New Roman" w:hAnsi="Times New Roman"/>
            <w:spacing w:val="-3"/>
            <w:sz w:val="24"/>
          </w:rPr>
          <w:delText>,</w:delText>
        </w:r>
      </w:del>
      <w:ins w:id="9" w:author="kaye ellis" w:date="2000-01-05T17:17:00Z">
        <w:r>
          <w:rPr>
            <w:rFonts w:cs="Times New Roman" w:ascii="Times New Roman" w:hAnsi="Times New Roman"/>
            <w:spacing w:val="-3"/>
            <w:sz w:val="24"/>
          </w:rPr>
          <w:t xml:space="preserve"> and</w:t>
        </w:r>
      </w:ins>
      <w:r>
        <w:rPr>
          <w:rFonts w:cs="Times New Roman" w:ascii="Times New Roman" w:hAnsi="Times New Roman"/>
          <w:spacing w:val="-3"/>
          <w:sz w:val="24"/>
        </w:rPr>
        <w:t xml:space="preserve"> Enron Capital &amp; Trade Resources International Corp.</w:t>
      </w:r>
      <w:del w:id="10" w:author="kaye ellis" w:date="2000-01-05T17:17:00Z">
        <w:r>
          <w:rPr>
            <w:rFonts w:cs="Times New Roman" w:ascii="Times New Roman" w:hAnsi="Times New Roman"/>
            <w:spacing w:val="-3"/>
            <w:sz w:val="24"/>
          </w:rPr>
          <w:delText>,</w:delText>
        </w:r>
      </w:del>
      <w:r>
        <w:rPr>
          <w:rFonts w:cs="Times New Roman" w:ascii="Times New Roman" w:hAnsi="Times New Roman"/>
          <w:spacing w:val="-3"/>
          <w:sz w:val="24"/>
        </w:rPr>
        <w:t xml:space="preserve"> </w:t>
      </w:r>
      <w:del w:id="11" w:author="kaye ellis" w:date="2000-01-05T17:17:00Z">
        <w:r>
          <w:rPr>
            <w:rFonts w:cs="Times New Roman" w:ascii="Times New Roman" w:hAnsi="Times New Roman"/>
            <w:spacing w:val="-3"/>
            <w:sz w:val="24"/>
          </w:rPr>
          <w:delText xml:space="preserve">Houston Pipe Line Company and </w:delText>
        </w:r>
      </w:del>
      <w:del w:id="12" w:author="kaye ellis" w:date="2000-01-05T17:17:00Z">
        <w:r>
          <w:rPr>
            <w:rFonts w:cs="Times New Roman" w:ascii="Times New Roman" w:hAnsi="Times New Roman"/>
            <w:spacing w:val="-2"/>
            <w:sz w:val="24"/>
          </w:rPr>
          <w:delText xml:space="preserve">EOTT Energy Operating Limited Partnership </w:delText>
        </w:r>
      </w:del>
      <w:r>
        <w:rPr>
          <w:rFonts w:cs="Times New Roman" w:ascii="Times New Roman" w:hAnsi="Times New Roman"/>
          <w:spacing w:val="-3"/>
          <w:sz w:val="24"/>
        </w:rPr>
        <w:t xml:space="preserve">(collectively </w:t>
      </w:r>
      <w:ins w:id="13" w:author="kaye ellis" w:date="2000-01-05T16:10:00Z">
        <w:r>
          <w:rPr>
            <w:rFonts w:cs="Times New Roman" w:ascii="Times New Roman" w:hAnsi="Times New Roman"/>
            <w:spacing w:val="-3"/>
            <w:sz w:val="24"/>
          </w:rPr>
          <w:t xml:space="preserve">“Company”) (such transactions, contracts, division orders, confirmations and Master Agreement shall be referred to herein </w:t>
        </w:r>
      </w:ins>
      <w:del w:id="14" w:author="kaye ellis" w:date="2000-01-05T16:10:00Z">
        <w:r>
          <w:rPr>
            <w:rFonts w:cs="Times New Roman" w:ascii="Times New Roman" w:hAnsi="Times New Roman"/>
            <w:spacing w:val="-3"/>
            <w:sz w:val="24"/>
          </w:rPr>
          <w:delText>“Company”);</w:delText>
        </w:r>
      </w:del>
      <w:ins w:id="15" w:author="kaye ellis" w:date="2000-01-05T16:10:00Z">
        <w:r>
          <w:rPr>
            <w:rFonts w:cs="Times New Roman" w:ascii="Times New Roman" w:hAnsi="Times New Roman"/>
            <w:spacing w:val="-3"/>
            <w:sz w:val="24"/>
          </w:rPr>
          <w:t>as the "Agreement</w:t>
        </w:r>
      </w:ins>
      <w:ins w:id="16" w:author="kaye ellis" w:date="2000-01-05T17:17:00Z">
        <w:r>
          <w:rPr>
            <w:rFonts w:cs="Times New Roman" w:ascii="Times New Roman" w:hAnsi="Times New Roman"/>
            <w:spacing w:val="-3"/>
            <w:sz w:val="24"/>
          </w:rPr>
          <w:t>s</w:t>
        </w:r>
      </w:ins>
      <w:ins w:id="17" w:author="kaye ellis" w:date="2000-01-05T16:10:00Z">
        <w:r>
          <w:rPr>
            <w:rFonts w:cs="Times New Roman" w:ascii="Times New Roman" w:hAnsi="Times New Roman"/>
            <w:spacing w:val="-3"/>
            <w:sz w:val="24"/>
          </w:rPr>
          <w:t>");</w:t>
        </w:r>
      </w:ins>
      <w:r>
        <w:rPr>
          <w:rFonts w:cs="Times New Roman" w:ascii="Times New Roman" w:hAnsi="Times New Roman"/>
          <w:spacing w:val="-3"/>
          <w:sz w:val="24"/>
        </w:rPr>
        <w:t xml:space="preserve"> and</w:t>
      </w:r>
    </w:p>
    <w:p>
      <w:pPr>
        <w:pStyle w:val="Normal"/>
        <w:spacing w:lineRule="atLeast" w:line="240"/>
        <w:jc w:val="both"/>
        <w:rPr>
          <w:rFonts w:ascii="Times New Roman" w:hAnsi="Times New Roman" w:cs="Times New Roman"/>
          <w:spacing w:val="-3"/>
          <w:sz w:val="24"/>
        </w:rPr>
      </w:pPr>
      <w:r>
        <w:rPr>
          <w:rFonts w:cs="Times New Roman" w:ascii="Times New Roman" w:hAnsi="Times New Roman"/>
          <w:spacing w:val="-3"/>
          <w:sz w:val="24"/>
        </w:rPr>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t>WHEREAS, Guarantor will directly or indirectly benefit from the Agreements</w:t>
      </w:r>
      <w:ins w:id="18" w:author="kaye ellis" w:date="2000-01-05T16:10:00Z">
        <w:r>
          <w:rPr>
            <w:rFonts w:cs="Times New Roman" w:ascii="Times New Roman" w:hAnsi="Times New Roman"/>
            <w:sz w:val="24"/>
          </w:rPr>
          <w:t xml:space="preserve"> entered into between Company and Counerparty;</w:t>
        </w:r>
      </w:ins>
      <w:del w:id="19" w:author="kaye ellis" w:date="2000-01-05T15:57:00Z">
        <w:r>
          <w:rPr>
            <w:rFonts w:cs="Times New Roman" w:ascii="Times New Roman" w:hAnsi="Times New Roman"/>
            <w:sz w:val="24"/>
          </w:rPr>
          <w:delText>.</w:delText>
        </w:r>
      </w:del>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t>NOW THEREFORE, in consideration of Counterparty entering into the Agreements, Guarantor hereby covenants and agrees as follows:</w:t>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pPr>
      <w:r>
        <w:rPr>
          <w:rFonts w:cs="Times New Roman" w:ascii="Times New Roman" w:hAnsi="Times New Roman"/>
          <w:sz w:val="24"/>
        </w:rPr>
        <w:t>1.</w:t>
        <w:tab/>
      </w:r>
      <w:r>
        <w:rPr>
          <w:rFonts w:cs="Times New Roman" w:ascii="Times New Roman" w:hAnsi="Times New Roman"/>
          <w:sz w:val="24"/>
          <w:u w:val="single"/>
        </w:rPr>
        <w:t>GUARANTY</w:t>
      </w:r>
      <w:r>
        <w:rPr>
          <w:rFonts w:cs="Times New Roman" w:ascii="Times New Roman" w:hAnsi="Times New Roman"/>
          <w:sz w:val="24"/>
        </w:rPr>
        <w:t>.  Subject to the provisions hereof, Guarantor hereby irrevocably and unconditionally guarantees the timely payment when due of the obligations of Company to Counterparty, its successors and assigns, in accordance with the Agreements, together with reasonable attorneys’ fees (and other reasonable out-of-pocket costs and expenses) of Counterparty incurred in the enforcement or collection of amounts due and payable under this Guaranty (the "Obligations").  To the extent that Company shall fail to pay any Obligations, Guarantor shall promptly pay to Counterparty the amount due.  This Guaranty shall constitute a guarantee of payment and not collection.  The liability of Guarantor under the Guaranty shall be subject to the following:</w:t>
      </w:r>
    </w:p>
    <w:p>
      <w:pPr>
        <w:pStyle w:val="Normal"/>
        <w:spacing w:lineRule="exact" w:line="240" w:before="240" w:after="0"/>
        <w:ind w:hanging="720" w:start="2160" w:end="0"/>
        <w:jc w:val="both"/>
        <w:rPr>
          <w:rFonts w:ascii="Times New Roman" w:hAnsi="Times New Roman" w:cs="Times New Roman"/>
          <w:sz w:val="24"/>
        </w:rPr>
      </w:pPr>
      <w:r>
        <w:rPr>
          <w:rFonts w:cs="Times New Roman" w:ascii="Times New Roman" w:hAnsi="Times New Roman"/>
          <w:sz w:val="24"/>
        </w:rPr>
        <w:t>(a)</w:t>
        <w:tab/>
        <w:t>Except to the extent specifically provided in the Agreements, in no event shall Guarantor be subject hereunder to consequential, exemplary, equitable, loss of profits, punitive, tort, or any other damages or costs.</w:t>
      </w:r>
    </w:p>
    <w:p>
      <w:pPr>
        <w:pStyle w:val="Normal"/>
        <w:spacing w:lineRule="exact" w:line="240" w:before="240" w:after="0"/>
        <w:ind w:hanging="720" w:start="2160" w:end="0"/>
        <w:jc w:val="both"/>
        <w:rPr>
          <w:rFonts w:ascii="Times New Roman" w:hAnsi="Times New Roman" w:cs="Times New Roman"/>
          <w:sz w:val="24"/>
        </w:rPr>
      </w:pPr>
      <w:r>
        <w:rPr>
          <w:rFonts w:cs="Times New Roman" w:ascii="Times New Roman" w:hAnsi="Times New Roman"/>
          <w:sz w:val="24"/>
        </w:rPr>
        <w:t>(b)</w:t>
        <w:tab/>
        <w:t>The aggregate amount covered by this Guaranty shall not exceed Twenty Million U.S. Dollars ($20,000,000.00), together with reasonable attorney fees (and other reasonable out-of-pocket costs and expenses) of Counterparty incurred in the enforcement of this Guaranty.</w:t>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ins w:id="21" w:author="kaye ellis" w:date="2000-01-05T16:10:00Z"/>
        </w:rPr>
      </w:pPr>
      <w:r>
        <w:rPr>
          <w:rFonts w:cs="Times New Roman" w:ascii="Times New Roman" w:hAnsi="Times New Roman"/>
          <w:sz w:val="24"/>
        </w:rPr>
        <w:t>2.</w:t>
        <w:tab/>
      </w:r>
      <w:r>
        <w:rPr>
          <w:rFonts w:cs="Times New Roman" w:ascii="Times New Roman" w:hAnsi="Times New Roman"/>
          <w:sz w:val="24"/>
          <w:u w:val="single"/>
        </w:rPr>
        <w:t>DEMANDS AND NOTICE</w:t>
      </w:r>
      <w:r>
        <w:rPr>
          <w:rFonts w:cs="Times New Roman" w:ascii="Times New Roman" w:hAnsi="Times New Roman"/>
          <w:sz w:val="24"/>
        </w:rPr>
        <w:t>.   If Company fails or refuses to pay any Obligations when due, Counterparty shall have the right to make a demand upon Guarantor (hereinafter referred to as a "Payment Demand").  A Payment Demand shall be in writing and shall reasonably and briefly specify in what manner and what amount Company has failed to pay and an explanation of why such payment is due, with a  statement that Counterparty is calling upon Guarantor to pay under this Guaranty.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ins w:id="20" w:author="kaye ellis" w:date="2000-01-05T16:10:00Z">
        <w:r>
          <w:rPr>
            <w:rFonts w:cs="Times New Roman" w:ascii="Times New Roman" w:hAnsi="Times New Roman"/>
            <w:sz w:val="24"/>
          </w:rPr>
          <w:t xml:space="preserve">  Guarantor shall pay any amounts due and owing to Counterparty within five (5) business days of receipt of Payment Demand.</w:t>
        </w:r>
      </w:ins>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pPr>
      <w:r>
        <w:rPr>
          <w:rFonts w:cs="Times New Roman" w:ascii="Times New Roman" w:hAnsi="Times New Roman"/>
          <w:sz w:val="24"/>
        </w:rPr>
        <w:t>3.</w:t>
        <w:tab/>
      </w:r>
      <w:r>
        <w:rPr>
          <w:rFonts w:cs="Times New Roman" w:ascii="Times New Roman" w:hAnsi="Times New Roman"/>
          <w:sz w:val="24"/>
          <w:u w:val="single"/>
        </w:rPr>
        <w:t>REPRESENTATIONS AND WARRANTIES</w:t>
      </w:r>
      <w:r>
        <w:rPr>
          <w:rFonts w:cs="Times New Roman" w:ascii="Times New Roman" w:hAnsi="Times New Roman"/>
          <w:sz w:val="24"/>
        </w:rPr>
        <w:t>.  Guarantor represents and warrants that:</w:t>
      </w:r>
    </w:p>
    <w:p>
      <w:pPr>
        <w:pStyle w:val="Normal"/>
        <w:spacing w:lineRule="exact" w:line="240" w:before="240" w:after="0"/>
        <w:ind w:hanging="720" w:start="2160" w:end="0"/>
        <w:jc w:val="both"/>
        <w:rPr>
          <w:rFonts w:ascii="Times New Roman" w:hAnsi="Times New Roman" w:cs="Times New Roman"/>
          <w:sz w:val="24"/>
        </w:rPr>
      </w:pPr>
      <w:r>
        <w:rPr>
          <w:rFonts w:cs="Times New Roman" w:ascii="Times New Roman" w:hAnsi="Times New Roman"/>
          <w:sz w:val="24"/>
        </w:rPr>
        <w:t>(a)</w:t>
        <w:tab/>
        <w:t xml:space="preserve">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hanging="720" w:start="2160" w:end="0"/>
        <w:jc w:val="both"/>
        <w:rPr>
          <w:rFonts w:ascii="Times New Roman" w:hAnsi="Times New Roman" w:cs="Times New Roman"/>
          <w:sz w:val="24"/>
        </w:rPr>
      </w:pPr>
      <w:r>
        <w:rPr>
          <w:rFonts w:cs="Times New Roman" w:ascii="Times New Roman" w:hAnsi="Times New Roman"/>
          <w:sz w:val="24"/>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hanging="720" w:start="2160" w:end="0"/>
        <w:jc w:val="both"/>
        <w:rPr>
          <w:rFonts w:ascii="Times New Roman" w:hAnsi="Times New Roman" w:cs="Times New Roman"/>
          <w:sz w:val="24"/>
        </w:rPr>
      </w:pPr>
      <w:r>
        <w:rPr>
          <w:rFonts w:cs="Times New Roman" w:ascii="Times New Roman" w:hAnsi="Times New Roman"/>
          <w:sz w:val="24"/>
        </w:rPr>
        <w:t>(c)</w:t>
        <w:tab/>
        <w:t>this Guaranty constitutes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pPr>
      <w:r>
        <w:rPr>
          <w:rFonts w:cs="Times New Roman" w:ascii="Times New Roman" w:hAnsi="Times New Roman"/>
          <w:sz w:val="24"/>
        </w:rPr>
        <w:t>4.</w:t>
        <w:tab/>
      </w:r>
      <w:r>
        <w:rPr>
          <w:rFonts w:cs="Times New Roman" w:ascii="Times New Roman" w:hAnsi="Times New Roman"/>
          <w:sz w:val="24"/>
          <w:u w:val="single"/>
        </w:rPr>
        <w:t>SETOFFS AND COUNTERCLAIMS</w:t>
      </w:r>
      <w:r>
        <w:rPr>
          <w:rFonts w:cs="Times New Roman" w:ascii="Times New Roman" w:hAnsi="Times New Roman"/>
          <w:sz w:val="24"/>
        </w:rPr>
        <w:t>.  Without limiting Guarantor's own defenses and rights hereunder, Guarantor reserves to itself all rights, setoffs, counterclaims and other defenses to which Company  is or may be entitled to arising from or out of the Agreements, except for defenses arising out of the bankruptcy, insolvency, dissolution</w:t>
      </w:r>
      <w:del w:id="22" w:author="kaye ellis" w:date="2000-01-05T17:18:00Z">
        <w:r>
          <w:rPr>
            <w:rFonts w:cs="Times New Roman" w:ascii="Times New Roman" w:hAnsi="Times New Roman"/>
            <w:sz w:val="24"/>
          </w:rPr>
          <w:delText>,</w:delText>
        </w:r>
      </w:del>
      <w:ins w:id="23" w:author="kaye ellis" w:date="2000-01-05T17:18:00Z">
        <w:r>
          <w:rPr>
            <w:rFonts w:cs="Times New Roman" w:ascii="Times New Roman" w:hAnsi="Times New Roman"/>
            <w:sz w:val="24"/>
          </w:rPr>
          <w:t xml:space="preserve"> or</w:t>
        </w:r>
      </w:ins>
      <w:r>
        <w:rPr>
          <w:rFonts w:cs="Times New Roman" w:ascii="Times New Roman" w:hAnsi="Times New Roman"/>
          <w:sz w:val="24"/>
        </w:rPr>
        <w:t xml:space="preserve"> </w:t>
      </w:r>
      <w:del w:id="24" w:author="kaye ellis" w:date="2000-01-05T15:59:00Z">
        <w:r>
          <w:rPr>
            <w:rFonts w:cs="Times New Roman" w:ascii="Times New Roman" w:hAnsi="Times New Roman"/>
            <w:sz w:val="24"/>
          </w:rPr>
          <w:delText xml:space="preserve"> </w:delText>
        </w:r>
      </w:del>
      <w:r>
        <w:rPr>
          <w:rFonts w:cs="Times New Roman" w:ascii="Times New Roman" w:hAnsi="Times New Roman"/>
          <w:sz w:val="24"/>
        </w:rPr>
        <w:t>liquidation</w:t>
      </w:r>
      <w:del w:id="25" w:author="kaye ellis" w:date="2000-01-05T15:59:00Z">
        <w:r>
          <w:rPr>
            <w:rFonts w:cs="Times New Roman" w:ascii="Times New Roman" w:hAnsi="Times New Roman"/>
            <w:sz w:val="24"/>
          </w:rPr>
          <w:delText xml:space="preserve">, bankruptcy or lack of capacity </w:delText>
        </w:r>
      </w:del>
      <w:r>
        <w:rPr>
          <w:rFonts w:cs="Times New Roman" w:ascii="Times New Roman" w:hAnsi="Times New Roman"/>
          <w:sz w:val="24"/>
        </w:rPr>
        <w:t>of Company.</w:t>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pPr>
      <w:r>
        <w:rPr>
          <w:rFonts w:cs="Times New Roman" w:ascii="Times New Roman" w:hAnsi="Times New Roman"/>
          <w:sz w:val="24"/>
        </w:rPr>
        <w:t>5.</w:t>
        <w:tab/>
      </w:r>
      <w:r>
        <w:rPr>
          <w:rFonts w:cs="Times New Roman" w:ascii="Times New Roman" w:hAnsi="Times New Roman"/>
          <w:sz w:val="24"/>
          <w:u w:val="single"/>
        </w:rPr>
        <w:t>AMENDMENT OF GUARANTY</w:t>
      </w:r>
      <w:r>
        <w:rPr>
          <w:rFonts w:cs="Times New Roman" w:ascii="Times New Roman" w:hAnsi="Times New Roman"/>
          <w:sz w:val="24"/>
        </w:rPr>
        <w:t>.  No term or provision of this Guaranty shall be amended, modified, altered, waived or supplemented except in a writing signed signed by the parties hereto.</w:t>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pPr>
      <w:r>
        <w:rPr>
          <w:rFonts w:cs="Times New Roman" w:ascii="Times New Roman" w:hAnsi="Times New Roman"/>
          <w:sz w:val="24"/>
        </w:rPr>
        <w:t>6.</w:t>
        <w:tab/>
      </w:r>
      <w:r>
        <w:rPr>
          <w:rFonts w:cs="Times New Roman" w:ascii="Times New Roman" w:hAnsi="Times New Roman"/>
          <w:sz w:val="24"/>
          <w:u w:val="single"/>
        </w:rPr>
        <w:t>WAIVERS</w:t>
      </w:r>
      <w:r>
        <w:rPr>
          <w:rFonts w:cs="Times New Roman" w:ascii="Times New Roman" w:hAnsi="Times New Roman"/>
          <w:sz w:val="24"/>
        </w:rPr>
        <w:t>.  Guarantor hereby waives (a) notice of acceptance of this Guaranty; (b) dil</w:t>
      </w:r>
      <w:del w:id="26" w:author="kaye ellis" w:date="2000-01-05T15:59:00Z">
        <w:r>
          <w:rPr>
            <w:rFonts w:cs="Times New Roman" w:ascii="Times New Roman" w:hAnsi="Times New Roman"/>
            <w:sz w:val="24"/>
          </w:rPr>
          <w:delText>l</w:delText>
        </w:r>
      </w:del>
      <w:r>
        <w:rPr>
          <w:rFonts w:cs="Times New Roman" w:ascii="Times New Roman" w:hAnsi="Times New Roman"/>
          <w:sz w:val="24"/>
        </w:rPr>
        <w:t>igence, presentment and demand concerning the liabilities of Guarantor, except as expressly hereinabove set forth; (c) any right to require that any action or proceeding be brought against Company or any other person, and any right to require that Counterparty seek enforcement of any performance against Company or any other person, prior to any action against Guarantor under the terms hereof; (d) notice of creation of any Obligation or of the amounts and terms thereof and of any modifications thereof; (e) with respect to any notes or evidences of indebtedness received by Counterparty from the Company, notice of presentment, protest or notice of protest; and (f) notice of any dishonor or default by, or disputes with the Company.</w:t>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t>Guarantor consents to the renewal, compromise, extension, acceleration or other changes in the time of payment of or other changes in the terms of the Obligations, or any part thereof or any changes or modifications to the terms of the Agreements.</w:t>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pPr>
      <w:r>
        <w:rPr>
          <w:rFonts w:cs="Times New Roman" w:ascii="Times New Roman" w:hAnsi="Times New Roman"/>
          <w:sz w:val="24"/>
        </w:rPr>
        <w:t xml:space="preserve">This Guaranty shall terminate on the earlier of </w:t>
      </w:r>
      <w:ins w:id="27" w:author="kaye ellis" w:date="2000-01-05T16:10:00Z">
        <w:r>
          <w:rPr>
            <w:rFonts w:cs="Times New Roman" w:ascii="Times New Roman" w:hAnsi="Times New Roman"/>
            <w:sz w:val="24"/>
          </w:rPr>
          <w:t xml:space="preserve">(i) </w:t>
        </w:r>
      </w:ins>
      <w:r>
        <w:rPr>
          <w:rFonts w:cs="Times New Roman" w:ascii="Times New Roman" w:hAnsi="Times New Roman"/>
          <w:sz w:val="24"/>
        </w:rPr>
        <w:t xml:space="preserve">October 1, 2001 at midnight Houston time, or </w:t>
      </w:r>
      <w:ins w:id="28" w:author="kaye ellis" w:date="2000-01-05T16:10:00Z">
        <w:r>
          <w:rPr>
            <w:rFonts w:cs="Times New Roman" w:ascii="Times New Roman" w:hAnsi="Times New Roman"/>
            <w:sz w:val="24"/>
          </w:rPr>
          <w:t xml:space="preserve">(ii) </w:t>
        </w:r>
      </w:ins>
      <w:r>
        <w:rPr>
          <w:rFonts w:cs="Times New Roman" w:ascii="Times New Roman" w:hAnsi="Times New Roman"/>
          <w:sz w:val="24"/>
        </w:rPr>
        <w:t>upon receipt by Counterparty of written notice of termination from Guarantor</w:t>
      </w:r>
      <w:ins w:id="29" w:author="kaye ellis" w:date="2000-01-05T17:19:00Z">
        <w:r>
          <w:rPr>
            <w:rFonts w:cs="Times New Roman" w:ascii="Times New Roman" w:hAnsi="Times New Roman"/>
            <w:sz w:val="24"/>
          </w:rPr>
          <w:t>,</w:t>
        </w:r>
      </w:ins>
      <w:r>
        <w:rPr>
          <w:rFonts w:cs="Times New Roman" w:ascii="Times New Roman" w:hAnsi="Times New Roman"/>
          <w:sz w:val="24"/>
        </w:rPr>
        <w:t xml:space="preserve"> and upon the effectiveness of such termination</w:t>
      </w:r>
      <w:del w:id="30" w:author="kaye ellis" w:date="2000-01-05T16:01:00Z">
        <w:r>
          <w:rPr>
            <w:rFonts w:cs="Times New Roman" w:ascii="Times New Roman" w:hAnsi="Times New Roman"/>
            <w:sz w:val="24"/>
          </w:rPr>
          <w:delText>,</w:delText>
        </w:r>
      </w:del>
      <w:r>
        <w:rPr>
          <w:rFonts w:cs="Times New Roman" w:ascii="Times New Roman" w:hAnsi="Times New Roman"/>
          <w:sz w:val="24"/>
        </w:rPr>
        <w:t xml:space="preserve"> Guarantor shall have no further liability hereunder, except as provided in the last sentence of this paragraph.  No such termination shall be effective until fifteen (15) business days after receipt by Counterparty of </w:t>
      </w:r>
      <w:ins w:id="31" w:author="kaye ellis" w:date="2000-01-05T16:10:00Z">
        <w:r>
          <w:rPr>
            <w:rFonts w:cs="Times New Roman" w:ascii="Times New Roman" w:hAnsi="Times New Roman"/>
            <w:sz w:val="24"/>
          </w:rPr>
          <w:t xml:space="preserve">such  </w:t>
        </w:r>
      </w:ins>
      <w:r>
        <w:rPr>
          <w:rFonts w:cs="Times New Roman" w:ascii="Times New Roman" w:hAnsi="Times New Roman"/>
          <w:sz w:val="24"/>
        </w:rPr>
        <w:t xml:space="preserve">termination notice.  No such termination shall affect Guarantor's liability with respect to any </w:t>
      </w:r>
      <w:ins w:id="32" w:author="kaye ellis" w:date="2000-01-05T16:10:00Z">
        <w:r>
          <w:rPr>
            <w:rFonts w:cs="Times New Roman" w:ascii="Times New Roman" w:hAnsi="Times New Roman"/>
            <w:sz w:val="24"/>
          </w:rPr>
          <w:t>Agreement</w:t>
        </w:r>
      </w:ins>
      <w:ins w:id="33" w:author="kaye ellis" w:date="2000-01-05T17:19:00Z">
        <w:r>
          <w:rPr>
            <w:rFonts w:cs="Times New Roman" w:ascii="Times New Roman" w:hAnsi="Times New Roman"/>
            <w:sz w:val="24"/>
          </w:rPr>
          <w:t>s</w:t>
        </w:r>
      </w:ins>
      <w:del w:id="34" w:author="kaye ellis" w:date="2000-01-05T16:01:00Z">
        <w:r>
          <w:rPr>
            <w:rFonts w:cs="Times New Roman" w:ascii="Times New Roman" w:hAnsi="Times New Roman"/>
            <w:sz w:val="24"/>
          </w:rPr>
          <w:delText>transaction</w:delText>
        </w:r>
      </w:del>
      <w:r>
        <w:rPr>
          <w:rFonts w:cs="Times New Roman" w:ascii="Times New Roman" w:hAnsi="Times New Roman"/>
          <w:sz w:val="24"/>
        </w:rPr>
        <w:t xml:space="preserve"> entered into prior to the time the termination is effective, which </w:t>
      </w:r>
      <w:ins w:id="35" w:author="kaye ellis" w:date="2000-01-05T16:10:00Z">
        <w:r>
          <w:rPr>
            <w:rFonts w:cs="Times New Roman" w:ascii="Times New Roman" w:hAnsi="Times New Roman"/>
            <w:sz w:val="24"/>
          </w:rPr>
          <w:t>Agreement</w:t>
        </w:r>
      </w:ins>
      <w:ins w:id="36" w:author="kaye ellis" w:date="2000-01-05T17:19:00Z">
        <w:r>
          <w:rPr>
            <w:rFonts w:cs="Times New Roman" w:ascii="Times New Roman" w:hAnsi="Times New Roman"/>
            <w:sz w:val="24"/>
          </w:rPr>
          <w:t>s</w:t>
        </w:r>
      </w:ins>
      <w:del w:id="37" w:author="kaye ellis" w:date="2000-01-05T16:02:00Z">
        <w:r>
          <w:rPr>
            <w:rFonts w:cs="Times New Roman" w:ascii="Times New Roman" w:hAnsi="Times New Roman"/>
            <w:sz w:val="24"/>
          </w:rPr>
          <w:delText>transaction</w:delText>
        </w:r>
      </w:del>
      <w:r>
        <w:rPr>
          <w:rFonts w:cs="Times New Roman" w:ascii="Times New Roman" w:hAnsi="Times New Roman"/>
          <w:sz w:val="24"/>
        </w:rPr>
        <w:t xml:space="preserve"> shall remain guaranteed pursuant to the terms of this Guaranty.</w:t>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pPr>
      <w:r>
        <w:rPr>
          <w:rFonts w:cs="Times New Roman" w:ascii="Times New Roman" w:hAnsi="Times New Roman"/>
          <w:sz w:val="24"/>
        </w:rPr>
        <w:t>7.</w:t>
        <w:tab/>
        <w:t xml:space="preserve">The Guarantor further agrees that all payments made by the Company to Counterparty on any Obligation hereby guaranteed will, when made, be final and agrees that if any such payment is recovered from, or repaid by, Counterparty in whole or in part as a result of any final court order in any bankruptcy, insolvency, or similar proceeding instituted by or against the Company, this Guaranty shall continue to be fully applicable to such Obligation to the same extent as though the payment so recovered or repaid had never been originally made on such Obligation.  However, in no event shall this provision be interpreted to allow Counterparty to recover more from the Guarantor, Company, or any combination of the payments from </w:t>
      </w:r>
      <w:del w:id="38" w:author="kaye ellis" w:date="2000-01-05T16:02:00Z">
        <w:r>
          <w:rPr>
            <w:rFonts w:cs="Times New Roman" w:ascii="Times New Roman" w:hAnsi="Times New Roman"/>
            <w:sz w:val="24"/>
          </w:rPr>
          <w:delText xml:space="preserve">both </w:delText>
        </w:r>
      </w:del>
      <w:r>
        <w:rPr>
          <w:rFonts w:cs="Times New Roman" w:ascii="Times New Roman" w:hAnsi="Times New Roman"/>
          <w:sz w:val="24"/>
        </w:rPr>
        <w:t>such parties, than the Company’s total Obligations under the Agreements hereby guaranteed.</w:t>
      </w:r>
    </w:p>
    <w:p>
      <w:pPr>
        <w:pStyle w:val="Normal"/>
        <w:ind w:firstLine="720" w:end="0"/>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pPr>
      <w:r>
        <w:rPr>
          <w:rFonts w:cs="Times New Roman" w:ascii="Times New Roman" w:hAnsi="Times New Roman"/>
          <w:sz w:val="24"/>
        </w:rPr>
        <w:t>8.</w:t>
        <w:tab/>
      </w:r>
      <w:r>
        <w:rPr>
          <w:rFonts w:cs="Times New Roman" w:ascii="Times New Roman" w:hAnsi="Times New Roman"/>
          <w:sz w:val="24"/>
          <w:u w:val="single"/>
        </w:rPr>
        <w:t>NOTICE</w:t>
      </w:r>
      <w:r>
        <w:rPr>
          <w:rFonts w:cs="Times New Roman" w:ascii="Times New Roman" w:hAnsi="Times New Roman"/>
          <w:sz w:val="24"/>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exact" w:line="480"/>
        <w:ind w:start="720" w:end="0"/>
        <w:jc w:val="both"/>
        <w:rPr>
          <w:rFonts w:ascii="Times New Roman" w:hAnsi="Times New Roman" w:cs="Times New Roman"/>
          <w:sz w:val="24"/>
        </w:rPr>
      </w:pPr>
      <w:r>
        <w:rPr>
          <w:rFonts w:cs="Times New Roman" w:ascii="Times New Roman" w:hAnsi="Times New Roman"/>
          <w:sz w:val="24"/>
        </w:rPr>
      </w:r>
    </w:p>
    <w:p>
      <w:pPr>
        <w:pStyle w:val="Normal"/>
        <w:suppressAutoHyphens w:val="true"/>
        <w:ind w:hanging="2160" w:start="2880" w:end="0"/>
        <w:jc w:val="both"/>
        <w:rPr>
          <w:rFonts w:ascii="Times New Roman" w:hAnsi="Times New Roman" w:cs="Times New Roman"/>
          <w:sz w:val="24"/>
        </w:rPr>
      </w:pPr>
      <w:r>
        <w:rPr>
          <w:rFonts w:cs="Times New Roman" w:ascii="Times New Roman" w:hAnsi="Times New Roman"/>
          <w:sz w:val="24"/>
        </w:rPr>
        <w:t>To Counterparty:</w:t>
        <w:tab/>
        <w:t>Cargill Incorporated</w:t>
      </w:r>
    </w:p>
    <w:p>
      <w:pPr>
        <w:pStyle w:val="Normal"/>
        <w:suppressAutoHyphens w:val="true"/>
        <w:ind w:start="2880" w:end="0"/>
        <w:jc w:val="both"/>
        <w:rPr>
          <w:rFonts w:ascii="Times New Roman" w:hAnsi="Times New Roman" w:cs="Times New Roman"/>
          <w:sz w:val="24"/>
        </w:rPr>
      </w:pPr>
      <w:r>
        <w:rPr>
          <w:rFonts w:cs="Times New Roman" w:ascii="Times New Roman" w:hAnsi="Times New Roman"/>
          <w:sz w:val="24"/>
        </w:rPr>
        <w:t>12700 Whitewater Drive</w:t>
      </w:r>
    </w:p>
    <w:p>
      <w:pPr>
        <w:pStyle w:val="Normal"/>
        <w:suppressAutoHyphens w:val="true"/>
        <w:ind w:start="2880" w:end="0"/>
        <w:jc w:val="both"/>
        <w:rPr>
          <w:rFonts w:ascii="Times New Roman" w:hAnsi="Times New Roman" w:cs="Times New Roman"/>
          <w:sz w:val="24"/>
        </w:rPr>
      </w:pPr>
      <w:r>
        <w:rPr>
          <w:rFonts w:cs="Times New Roman" w:ascii="Times New Roman" w:hAnsi="Times New Roman"/>
          <w:sz w:val="24"/>
        </w:rPr>
        <w:t>Minnetonka, Minnesota  55343</w:t>
      </w:r>
    </w:p>
    <w:p>
      <w:pPr>
        <w:pStyle w:val="Normal"/>
        <w:suppressAutoHyphens w:val="true"/>
        <w:ind w:start="2880" w:end="0"/>
        <w:jc w:val="both"/>
        <w:rPr>
          <w:rFonts w:ascii="Times New Roman" w:hAnsi="Times New Roman" w:cs="Times New Roman"/>
          <w:sz w:val="24"/>
        </w:rPr>
      </w:pPr>
      <w:r>
        <w:rPr>
          <w:rFonts w:cs="Times New Roman" w:ascii="Times New Roman" w:hAnsi="Times New Roman"/>
          <w:sz w:val="24"/>
        </w:rPr>
        <w:t>Attn:  Andrzej Kabarowski – Energy Credit</w:t>
      </w:r>
    </w:p>
    <w:p>
      <w:pPr>
        <w:pStyle w:val="Normal"/>
        <w:suppressAutoHyphens w:val="true"/>
        <w:ind w:start="2880" w:end="0"/>
        <w:jc w:val="both"/>
        <w:rPr>
          <w:rFonts w:ascii="Times New Roman" w:hAnsi="Times New Roman" w:cs="Times New Roman"/>
          <w:sz w:val="24"/>
        </w:rPr>
      </w:pPr>
      <w:r>
        <w:rPr>
          <w:rFonts w:cs="Times New Roman" w:ascii="Times New Roman" w:hAnsi="Times New Roman"/>
          <w:sz w:val="24"/>
        </w:rPr>
        <w:t>Fax No.:  612-984 3976_________________</w:t>
      </w:r>
    </w:p>
    <w:p>
      <w:pPr>
        <w:pStyle w:val="Normal"/>
        <w:tabs>
          <w:tab w:val="clear" w:pos="720"/>
          <w:tab w:val="left" w:pos="6480" w:leader="none"/>
        </w:tabs>
        <w:spacing w:lineRule="exact" w:line="240"/>
        <w:ind w:start="288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spacing w:lineRule="exact" w:line="240" w:before="240" w:after="0"/>
        <w:ind w:start="720" w:end="0"/>
        <w:jc w:val="both"/>
        <w:rPr>
          <w:rFonts w:ascii="Times New Roman" w:hAnsi="Times New Roman" w:cs="Times New Roman"/>
          <w:sz w:val="24"/>
        </w:rPr>
      </w:pPr>
      <w:r>
        <w:rPr>
          <w:rFonts w:cs="Times New Roman" w:ascii="Times New Roman" w:hAnsi="Times New Roman"/>
          <w:sz w:val="24"/>
        </w:rPr>
        <w:t>To Guarantor:</w:t>
        <w:tab/>
        <w:t>Enron Corp.</w:t>
      </w:r>
    </w:p>
    <w:p>
      <w:pPr>
        <w:pStyle w:val="Normal"/>
        <w:spacing w:lineRule="exact" w:line="240"/>
        <w:ind w:start="2880" w:end="0"/>
        <w:jc w:val="both"/>
        <w:rPr>
          <w:rFonts w:ascii="Times New Roman" w:hAnsi="Times New Roman" w:cs="Times New Roman"/>
          <w:sz w:val="24"/>
        </w:rPr>
      </w:pPr>
      <w:r>
        <w:rPr>
          <w:rFonts w:cs="Times New Roman" w:ascii="Times New Roman" w:hAnsi="Times New Roman"/>
          <w:sz w:val="24"/>
        </w:rPr>
        <w:t>1400 Smith Street</w:t>
      </w:r>
    </w:p>
    <w:p>
      <w:pPr>
        <w:pStyle w:val="Normal"/>
        <w:spacing w:lineRule="exact" w:line="240"/>
        <w:ind w:start="2880" w:end="0"/>
        <w:jc w:val="both"/>
        <w:rPr>
          <w:rFonts w:ascii="Times New Roman" w:hAnsi="Times New Roman" w:cs="Times New Roman"/>
          <w:sz w:val="24"/>
        </w:rPr>
      </w:pPr>
      <w:r>
        <w:rPr>
          <w:rFonts w:cs="Times New Roman" w:ascii="Times New Roman" w:hAnsi="Times New Roman"/>
          <w:sz w:val="24"/>
        </w:rPr>
        <w:t>Houston, Texas  77002</w:t>
      </w:r>
    </w:p>
    <w:p>
      <w:pPr>
        <w:pStyle w:val="Normal"/>
        <w:ind w:start="2880" w:end="0"/>
        <w:jc w:val="both"/>
        <w:rPr/>
      </w:pPr>
      <w:r>
        <w:rPr>
          <w:rFonts w:cs="Times New Roman" w:ascii="Times New Roman" w:hAnsi="Times New Roman"/>
          <w:sz w:val="24"/>
        </w:rPr>
        <w:t xml:space="preserve">Attn:  </w:t>
      </w:r>
      <w:r>
        <w:rPr>
          <w:rFonts w:cs="Times New Roman" w:ascii="Times New Roman" w:hAnsi="Times New Roman"/>
          <w:spacing w:val="-2"/>
          <w:sz w:val="24"/>
        </w:rPr>
        <w:t>Executive Vice President,</w:t>
      </w:r>
    </w:p>
    <w:p>
      <w:pPr>
        <w:pStyle w:val="Normal"/>
        <w:ind w:start="2880" w:end="0"/>
        <w:jc w:val="both"/>
        <w:rPr>
          <w:rFonts w:ascii="Times New Roman" w:hAnsi="Times New Roman" w:cs="Times New Roman"/>
          <w:sz w:val="24"/>
        </w:rPr>
      </w:pPr>
      <w:r>
        <w:rPr>
          <w:rFonts w:cs="Times New Roman" w:ascii="Times New Roman" w:hAnsi="Times New Roman"/>
          <w:spacing w:val="-2"/>
          <w:sz w:val="24"/>
        </w:rPr>
        <w:tab/>
        <w:t>Finance and Treasurer</w:t>
      </w:r>
    </w:p>
    <w:p>
      <w:pPr>
        <w:pStyle w:val="Normal"/>
        <w:spacing w:lineRule="exact" w:line="240"/>
        <w:ind w:start="2880" w:end="0"/>
        <w:jc w:val="both"/>
        <w:rPr>
          <w:rFonts w:ascii="Times New Roman" w:hAnsi="Times New Roman" w:cs="Times New Roman"/>
          <w:sz w:val="24"/>
        </w:rPr>
      </w:pPr>
      <w:r>
        <w:rPr>
          <w:rFonts w:cs="Times New Roman" w:ascii="Times New Roman" w:hAnsi="Times New Roman"/>
          <w:sz w:val="24"/>
        </w:rPr>
        <w:t>Fax No.:  (713) 646-3422</w:t>
      </w:r>
    </w:p>
    <w:p>
      <w:pPr>
        <w:pStyle w:val="Normal"/>
        <w:spacing w:lineRule="exact" w:line="240"/>
        <w:ind w:start="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pPr>
      <w:del w:id="39" w:author="kaye ellis" w:date="2000-01-05T16:02:00Z">
        <w:r>
          <w:rPr>
            <w:rFonts w:cs="Times New Roman" w:ascii="Times New Roman" w:hAnsi="Times New Roman"/>
            <w:sz w:val="24"/>
          </w:rPr>
          <w:delText>8</w:delText>
        </w:r>
      </w:del>
      <w:ins w:id="40" w:author="kaye ellis" w:date="2000-01-05T16:10:00Z">
        <w:r>
          <w:rPr>
            <w:rFonts w:cs="Times New Roman" w:ascii="Times New Roman" w:hAnsi="Times New Roman"/>
            <w:sz w:val="24"/>
          </w:rPr>
          <w:t>9</w:t>
        </w:r>
      </w:ins>
      <w:r>
        <w:rPr>
          <w:rFonts w:cs="Times New Roman" w:ascii="Times New Roman" w:hAnsi="Times New Roman"/>
          <w:sz w:val="24"/>
        </w:rPr>
        <w:t>.</w:t>
        <w:tab/>
      </w:r>
      <w:r>
        <w:rPr>
          <w:rFonts w:cs="Times New Roman" w:ascii="Times New Roman" w:hAnsi="Times New Roman"/>
          <w:sz w:val="24"/>
          <w:u w:val="single"/>
        </w:rPr>
        <w:t>MISCELLANEOUS</w:t>
      </w:r>
      <w:r>
        <w:rPr>
          <w:rFonts w:cs="Times New Roman" w:ascii="Times New Roman" w:hAnsi="Times New Roman"/>
          <w:sz w:val="24"/>
        </w:rPr>
        <w:t xml:space="preserve">.  </w:t>
      </w:r>
      <w:r>
        <w:rPr>
          <w:rFonts w:cs="Times New Roman" w:ascii="Times New Roman" w:hAnsi="Times New Roman"/>
          <w:b/>
          <w:sz w:val="24"/>
        </w:rPr>
        <w:t>THIS GUARANTY SHALL IN ALL RESPECTS BE GOVERNED BY, AND CONSTRUED IN ACCORDANCE WITH, THE LAWS OF THE STATE OF NEW YORK WITHOUT REGARD TO PRINCIPLES OF CONFLICTS OF LAWS.</w:t>
      </w:r>
      <w:r>
        <w:rPr>
          <w:rFonts w:cs="Times New Roman" w:ascii="Times New Roman" w:hAnsi="Times New Roman"/>
          <w:sz w:val="24"/>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w:t>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t>EXECUTED as of the day and year first above written.</w:t>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tbl>
      <w:tblPr>
        <w:tblW w:w="5580" w:type="dxa"/>
        <w:jc w:val="start"/>
        <w:tblInd w:w="3888" w:type="dxa"/>
        <w:tblLayout w:type="fixed"/>
        <w:tblCellMar>
          <w:top w:w="0" w:type="dxa"/>
          <w:start w:w="108" w:type="dxa"/>
          <w:bottom w:w="0" w:type="dxa"/>
          <w:end w:w="108" w:type="dxa"/>
        </w:tblCellMar>
      </w:tblPr>
      <w:tblGrid>
        <w:gridCol w:w="1170"/>
        <w:gridCol w:w="4410"/>
      </w:tblGrid>
      <w:tr>
        <w:trPr/>
        <w:tc>
          <w:tcPr>
            <w:tcW w:w="5580" w:type="dxa"/>
            <w:gridSpan w:val="2"/>
            <w:tcBorders/>
          </w:tcPr>
          <w:p>
            <w:pPr>
              <w:pStyle w:val="Normal"/>
              <w:jc w:val="both"/>
              <w:rPr>
                <w:rFonts w:ascii="Times New Roman" w:hAnsi="Times New Roman" w:cs="Times New Roman"/>
                <w:sz w:val="24"/>
              </w:rPr>
            </w:pPr>
            <w:r>
              <w:rPr>
                <w:rFonts w:cs="Times New Roman" w:ascii="Times New Roman" w:hAnsi="Times New Roman"/>
                <w:sz w:val="24"/>
              </w:rPr>
              <w:t>ENRON CORP.</w:t>
            </w:r>
          </w:p>
        </w:tc>
      </w:tr>
      <w:tr>
        <w:trPr/>
        <w:tc>
          <w:tcPr>
            <w:tcW w:w="5580" w:type="dxa"/>
            <w:gridSpan w:val="2"/>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r>
      <w:tr>
        <w:trPr/>
        <w:tc>
          <w:tcPr>
            <w:tcW w:w="1170" w:type="dxa"/>
            <w:tcBorders/>
          </w:tcPr>
          <w:p>
            <w:pPr>
              <w:pStyle w:val="Normal"/>
              <w:jc w:val="both"/>
              <w:rPr>
                <w:rFonts w:ascii="Times New Roman" w:hAnsi="Times New Roman" w:cs="Times New Roman"/>
                <w:sz w:val="24"/>
              </w:rPr>
            </w:pPr>
            <w:r>
              <w:rPr>
                <w:rFonts w:cs="Times New Roman" w:ascii="Times New Roman" w:hAnsi="Times New Roman"/>
                <w:sz w:val="24"/>
              </w:rPr>
              <w:t>By:</w:t>
            </w:r>
          </w:p>
        </w:tc>
        <w:tc>
          <w:tcPr>
            <w:tcW w:w="441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r>
      <w:tr>
        <w:trPr/>
        <w:tc>
          <w:tcPr>
            <w:tcW w:w="1170" w:type="dxa"/>
            <w:tcBorders/>
          </w:tcPr>
          <w:p>
            <w:pPr>
              <w:pStyle w:val="Normal"/>
              <w:jc w:val="both"/>
              <w:rPr>
                <w:rFonts w:ascii="Times New Roman" w:hAnsi="Times New Roman" w:cs="Times New Roman"/>
                <w:sz w:val="24"/>
              </w:rPr>
            </w:pPr>
            <w:r>
              <w:rPr>
                <w:rFonts w:cs="Times New Roman" w:ascii="Times New Roman" w:hAnsi="Times New Roman"/>
                <w:sz w:val="24"/>
              </w:rPr>
              <w:t>Name:</w:t>
            </w:r>
          </w:p>
        </w:tc>
        <w:tc>
          <w:tcPr>
            <w:tcW w:w="4410" w:type="dxa"/>
            <w:tcBorders>
              <w:top w:val="single" w:sz="6" w:space="0" w:color="000000"/>
            </w:tcBorders>
          </w:tcPr>
          <w:p>
            <w:pPr>
              <w:pStyle w:val="Normal"/>
              <w:jc w:val="both"/>
              <w:rPr>
                <w:rFonts w:ascii="Times New Roman" w:hAnsi="Times New Roman" w:cs="Times New Roman"/>
                <w:sz w:val="24"/>
              </w:rPr>
            </w:pPr>
            <w:r>
              <w:rPr>
                <w:rFonts w:cs="Times New Roman" w:ascii="Times New Roman" w:hAnsi="Times New Roman"/>
                <w:spacing w:val="-2"/>
                <w:sz w:val="24"/>
              </w:rPr>
              <w:t>Jeffrey McMahon</w:t>
            </w:r>
          </w:p>
        </w:tc>
      </w:tr>
      <w:tr>
        <w:trPr/>
        <w:tc>
          <w:tcPr>
            <w:tcW w:w="1170" w:type="dxa"/>
            <w:tcBorders/>
          </w:tcPr>
          <w:p>
            <w:pPr>
              <w:pStyle w:val="Normal"/>
              <w:jc w:val="both"/>
              <w:rPr>
                <w:rFonts w:ascii="Times New Roman" w:hAnsi="Times New Roman" w:cs="Times New Roman"/>
                <w:sz w:val="24"/>
              </w:rPr>
            </w:pPr>
            <w:r>
              <w:rPr>
                <w:rFonts w:cs="Times New Roman" w:ascii="Times New Roman" w:hAnsi="Times New Roman"/>
                <w:sz w:val="24"/>
              </w:rPr>
              <w:t>Title:</w:t>
            </w:r>
          </w:p>
        </w:tc>
        <w:tc>
          <w:tcPr>
            <w:tcW w:w="4410" w:type="dxa"/>
            <w:tcBorders/>
          </w:tcPr>
          <w:p>
            <w:pPr>
              <w:pStyle w:val="Normal"/>
              <w:jc w:val="both"/>
              <w:rPr>
                <w:spacing w:val="-2"/>
                <w:sz w:val="24"/>
              </w:rPr>
            </w:pPr>
            <w:r>
              <w:rPr>
                <w:spacing w:val="-2"/>
                <w:sz w:val="24"/>
              </w:rPr>
              <w:t>Executive Vice President,</w:t>
            </w:r>
          </w:p>
          <w:p>
            <w:pPr>
              <w:pStyle w:val="Normal"/>
              <w:jc w:val="both"/>
              <w:rPr>
                <w:rFonts w:ascii="Times New Roman" w:hAnsi="Times New Roman" w:cs="Times New Roman"/>
                <w:sz w:val="24"/>
              </w:rPr>
            </w:pPr>
            <w:r>
              <w:rPr>
                <w:spacing w:val="-2"/>
                <w:sz w:val="24"/>
              </w:rPr>
              <w:t>Finance and Treasurer</w:t>
            </w:r>
          </w:p>
        </w:tc>
      </w:tr>
    </w:tbl>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before="0" w:after="480"/>
      <w:jc w:val="both"/>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Cargill_revised_red.doc</w:t>
    </w:r>
    <w:r>
      <w:rPr>
        <w:sz w:val="16"/>
        <w:rFonts w:cs="Times New Roman" w:ascii="Times New Roman" w:hAnsi="Times New Roman"/>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6319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163195" cy="161925"/>
                      </a:xfrm>
                      <a:prstGeom prst="rect"/>
                      <a:solidFill>
                        <a:srgbClr val="FFFFFF">
                          <a:alpha val="0"/>
                        </a:srgbClr>
                      </a:solidFill>
                    </wps:spPr>
                    <wps:txbx>
                      <w:txbxContent>
                        <w:p>
                          <w:pPr>
                            <w:pStyle w:val="Footer"/>
                            <w:rPr>
                              <w:rStyle w:val="PageNumber"/>
                            </w:rPr>
                          </w:pPr>
                          <w:r>
                            <w:rPr>
                              <w:rStyle w:val="PageNumber"/>
                              <w:sz w:val="22"/>
                            </w:rPr>
                            <w:t>-</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r>
                            <w:rPr>
                              <w:rStyle w:val="PageNumber"/>
                              <w:sz w:val="22"/>
                            </w:rPr>
                            <w:t>-</w:t>
                          </w:r>
                        </w:p>
                      </w:txbxContent>
                    </wps:txbx>
                    <wps:bodyPr anchor="t" lIns="0" tIns="0" rIns="0" bIns="0">
                      <a:noAutofit/>
                    </wps:bodyPr>
                  </wps:wsp>
                </a:graphicData>
              </a:graphic>
            </wp:anchor>
          </w:drawing>
        </mc:Choice>
        <mc:Fallback>
          <w:pict>
            <v:rect fillcolor="#FFFFFF" style="position:absolute;rotation:-0;width:12.85pt;height:12.75pt;mso-wrap-distance-left:0pt;mso-wrap-distance-right:0pt;mso-wrap-distance-top:0pt;mso-wrap-distance-bottom:0pt;margin-top:0.05pt;mso-position-vertical-relative:text;margin-left:227.6pt;mso-position-horizontal:center;mso-position-horizontal-relative:margin">
              <v:fill opacity="0f"/>
              <v:textbox inset="0in,0in,0in,0in">
                <w:txbxContent>
                  <w:p>
                    <w:pPr>
                      <w:pStyle w:val="Footer"/>
                      <w:rPr>
                        <w:rStyle w:val="PageNumber"/>
                      </w:rPr>
                    </w:pPr>
                    <w:r>
                      <w:rPr>
                        <w:rStyle w:val="PageNumber"/>
                        <w:sz w:val="22"/>
                      </w:rPr>
                      <w:t>-</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r>
                      <w:rPr>
                        <w:rStyle w:val="PageNumber"/>
                        <w:sz w:val="22"/>
                      </w:rPr>
                      <w:t>-</w:t>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36"/>
      </w:rPr>
    </w:pPr>
    <w:r>
      <w:rPr>
        <w:b/>
        <w:sz w:val="36"/>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2000-01-05T19:33:00Z</dcterms:created>
  <dc:creator>Enron</dc:creator>
  <dc:description>10/14/93</dc:description>
  <dc:language>en-CA</dc:language>
  <cp:lastModifiedBy>kaye ellis</cp:lastModifiedBy>
  <cp:lastPrinted>2000-01-05T17:19:00Z</cp:lastPrinted>
  <dcterms:modified xsi:type="dcterms:W3CDTF">2000-01-05T20:50:00Z</dcterms:modified>
  <cp:revision>4</cp:revision>
  <dc:subject>2nd Draft 8/10/93rmj</dc:subject>
  <dc:title>SCHEDULE TO THE MASTER AGREEMENT</dc:title>
</cp:coreProperties>
</file>