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bCs/>
          <w:sz w:val="18"/>
          <w:szCs w:val="18"/>
        </w:rPr>
      </w:pPr>
      <w:r>
        <w:rPr>
          <w:rFonts w:cs="Arial Narrow" w:ascii="Arial Narrow" w:hAnsi="Arial Narrow"/>
          <w:b/>
          <w:bCs/>
          <w:sz w:val="18"/>
          <w:szCs w:val="18"/>
        </w:rPr>
      </w:r>
    </w:p>
    <w:p>
      <w:pPr>
        <w:pStyle w:val="Norma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MASTER FIRM PURCHASE/SALE AGREEMENT</w:t>
      </w:r>
    </w:p>
    <w:p>
      <w:pPr>
        <w:pStyle w:val="Normal"/>
        <w:jc w:val="both"/>
        <w:rPr/>
      </w:pPr>
      <w:r>
        <w:rPr>
          <w:rFonts w:cs="Arial Narrow" w:ascii="Arial Narrow" w:hAnsi="Arial Narrow"/>
          <w:sz w:val="18"/>
          <w:szCs w:val="18"/>
        </w:rPr>
        <w:br/>
        <w:t>Enron North America Corp., a Delaware corporation ("</w:t>
      </w:r>
      <w:r>
        <w:rPr>
          <w:rFonts w:cs="Arial Narrow" w:ascii="Arial Narrow" w:hAnsi="Arial Narrow"/>
          <w:sz w:val="18"/>
          <w:szCs w:val="18"/>
          <w:u w:val="single"/>
        </w:rPr>
        <w:t>Company</w:t>
      </w:r>
      <w:r>
        <w:rPr>
          <w:rFonts w:cs="Arial Narrow" w:ascii="Arial Narrow" w:hAnsi="Arial Narrow"/>
          <w:sz w:val="18"/>
          <w:szCs w:val="18"/>
        </w:rPr>
        <w:t>"), and Cargill Energy, a Division of Cargill Incorporated, a Delaware corporation ("</w:t>
      </w:r>
      <w:r>
        <w:rPr>
          <w:rFonts w:cs="Arial Narrow" w:ascii="Arial Narrow" w:hAnsi="Arial Narrow"/>
          <w:sz w:val="18"/>
          <w:szCs w:val="18"/>
          <w:u w:val="single"/>
        </w:rPr>
        <w:t>Customer</w:t>
      </w:r>
      <w:r>
        <w:rPr>
          <w:rFonts w:cs="Arial Narrow" w:ascii="Arial Narrow" w:hAnsi="Arial Narrow"/>
          <w:sz w:val="18"/>
          <w:szCs w:val="18"/>
        </w:rPr>
        <w:t>"), referred to collectively as the "</w:t>
      </w:r>
      <w:r>
        <w:rPr>
          <w:rFonts w:cs="Arial Narrow" w:ascii="Arial Narrow" w:hAnsi="Arial Narrow"/>
          <w:sz w:val="18"/>
          <w:szCs w:val="18"/>
          <w:u w:val="single"/>
        </w:rPr>
        <w:t>Parties</w:t>
      </w:r>
      <w:r>
        <w:rPr>
          <w:rFonts w:cs="Arial Narrow" w:ascii="Arial Narrow" w:hAnsi="Arial Narrow"/>
          <w:sz w:val="18"/>
          <w:szCs w:val="18"/>
        </w:rPr>
        <w:t>," enter into this Master Firm Purchase/Sale Agreement (together with all Transactions, collectively, this "</w:t>
      </w:r>
      <w:r>
        <w:rPr>
          <w:rFonts w:cs="Arial Narrow" w:ascii="Arial Narrow" w:hAnsi="Arial Narrow"/>
          <w:sz w:val="18"/>
          <w:szCs w:val="18"/>
          <w:u w:val="single"/>
        </w:rPr>
        <w:t>Agreement</w:t>
      </w:r>
      <w:r>
        <w:rPr>
          <w:rFonts w:cs="Arial Narrow" w:ascii="Arial Narrow" w:hAnsi="Arial Narrow"/>
          <w:sz w:val="18"/>
          <w:szCs w:val="18"/>
        </w:rPr>
        <w:t>") effective as of the 1</w:t>
      </w:r>
      <w:r>
        <w:rPr>
          <w:rFonts w:cs="Arial Narrow" w:ascii="Arial Narrow" w:hAnsi="Arial Narrow"/>
          <w:sz w:val="18"/>
          <w:szCs w:val="18"/>
          <w:vertAlign w:val="superscript"/>
        </w:rPr>
        <w:t>st</w:t>
      </w:r>
      <w:r>
        <w:rPr>
          <w:rFonts w:cs="Arial Narrow" w:ascii="Arial Narrow" w:hAnsi="Arial Narrow"/>
          <w:sz w:val="18"/>
          <w:szCs w:val="18"/>
        </w:rPr>
        <w:t xml:space="preserve"> Day of April, 2001 (the "</w:t>
      </w:r>
      <w:r>
        <w:rPr>
          <w:rFonts w:cs="Arial Narrow" w:ascii="Arial Narrow" w:hAnsi="Arial Narrow"/>
          <w:sz w:val="18"/>
          <w:szCs w:val="18"/>
          <w:u w:val="single"/>
        </w:rPr>
        <w:t>Effective Date</w:t>
      </w:r>
      <w:r>
        <w:rPr>
          <w:rFonts w:cs="Arial Narrow" w:ascii="Arial Narrow" w:hAnsi="Arial Narrow"/>
          <w:sz w:val="18"/>
          <w:szCs w:val="18"/>
        </w:rPr>
        <w:t>").  The ENFOLIO</w:t>
      </w:r>
      <w:r>
        <w:rPr>
          <w:rFonts w:cs="Arial Narrow" w:ascii="Arial Narrow" w:hAnsi="Arial Narrow"/>
          <w:position w:val="6"/>
          <w:sz w:val="18"/>
          <w:szCs w:val="18"/>
        </w:rPr>
        <w:t xml:space="preserve"> </w:t>
      </w:r>
      <w:r>
        <w:rPr>
          <w:rFonts w:cs="Arial Narrow" w:ascii="Arial Narrow" w:hAnsi="Arial Narrow"/>
          <w:sz w:val="18"/>
          <w:szCs w:val="18"/>
        </w:rPr>
        <w:t xml:space="preserve">General Provisions set forth in </w:t>
      </w:r>
      <w:r>
        <w:rPr>
          <w:rFonts w:cs="Arial Narrow" w:ascii="Arial Narrow" w:hAnsi="Arial Narrow"/>
          <w:sz w:val="18"/>
          <w:szCs w:val="18"/>
          <w:u w:val="single"/>
        </w:rPr>
        <w:t>Appendix "1"</w:t>
      </w:r>
      <w:r>
        <w:rPr>
          <w:rFonts w:cs="Arial Narrow" w:ascii="Arial Narrow" w:hAnsi="Arial Narrow"/>
          <w:sz w:val="18"/>
          <w:szCs w:val="18"/>
        </w:rPr>
        <w:t xml:space="preserve"> shall apply to this Agreement.</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szCs w:val="18"/>
          <w:u w:val="single"/>
        </w:rPr>
        <w:t>Section 8.4</w:t>
      </w:r>
      <w:r>
        <w:rPr>
          <w:rFonts w:cs="Arial Narrow" w:ascii="Arial Narrow" w:hAnsi="Arial Narrow"/>
          <w:sz w:val="18"/>
          <w:szCs w:val="18"/>
        </w:rPr>
        <w:t>.</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2. SCOPE OF AGREEMENT</w:t>
      </w:r>
      <w:r>
        <w:rPr>
          <w:rFonts w:cs="Arial Narrow" w:ascii="Arial Narrow" w:hAnsi="Arial Narrow"/>
          <w:b/>
          <w:bCs/>
          <w:sz w:val="18"/>
          <w:szCs w:val="18"/>
        </w:rPr>
        <w:t xml:space="preserve">  2.1. </w:t>
      </w:r>
      <w:r>
        <w:rPr>
          <w:rFonts w:cs="Arial Narrow" w:ascii="Arial Narrow" w:hAnsi="Arial Narrow"/>
          <w:b/>
          <w:bCs/>
          <w:sz w:val="18"/>
          <w:szCs w:val="18"/>
          <w:u w:val="single"/>
        </w:rPr>
        <w:t>Scope of Agreement</w:t>
      </w:r>
      <w:r>
        <w:rPr>
          <w:rFonts w:cs="Arial Narrow" w:ascii="Arial Narrow" w:hAnsi="Arial Narrow"/>
          <w:sz w:val="18"/>
          <w:szCs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szCs w:val="18"/>
          <w:u w:val="single"/>
        </w:rPr>
        <w:t>Article 2</w:t>
      </w:r>
      <w:r>
        <w:rPr>
          <w:rFonts w:cs="Arial Narrow" w:ascii="Arial Narrow" w:hAnsi="Arial Narrow"/>
          <w:sz w:val="18"/>
          <w:szCs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Transaction Procedures</w:t>
      </w:r>
      <w:r>
        <w:rPr>
          <w:rFonts w:cs="Arial Narrow" w:ascii="Arial Narrow" w:hAnsi="Arial Narrow"/>
          <w:sz w:val="18"/>
          <w:szCs w:val="18"/>
        </w:rPr>
        <w:t xml:space="preserve">.  It is the intent of the Parties to facilitate Transactions in accordance with the agreed procedures in this </w:t>
      </w:r>
      <w:r>
        <w:rPr>
          <w:rFonts w:cs="Arial Narrow" w:ascii="Arial Narrow" w:hAnsi="Arial Narrow"/>
          <w:sz w:val="18"/>
          <w:szCs w:val="18"/>
          <w:u w:val="single"/>
        </w:rPr>
        <w:t>Article 2</w:t>
      </w:r>
      <w:r>
        <w:rPr>
          <w:rFonts w:cs="Arial Narrow" w:ascii="Arial Narrow" w:hAnsi="Arial Narrow"/>
          <w:sz w:val="18"/>
          <w:szCs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szCs w:val="18"/>
          <w:u w:val="single"/>
        </w:rPr>
        <w:t>Article 2</w:t>
      </w:r>
      <w:r>
        <w:rPr>
          <w:rFonts w:cs="Arial Narrow" w:ascii="Arial Narrow" w:hAnsi="Arial Narrow"/>
          <w:sz w:val="18"/>
          <w:szCs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Equipment and Transaction Tape</w:t>
      </w:r>
      <w:r>
        <w:rPr>
          <w:rFonts w:cs="Arial Narrow" w:ascii="Arial Narrow" w:hAnsi="Arial Narrow"/>
          <w:sz w:val="18"/>
          <w:szCs w:val="18"/>
        </w:rPr>
        <w:t>. Each Party shall at its expense maintain equipment necessary to regularly record Transactions on Transaction Tapes and retain Transaction Tapes in such manner as to protect its business records from improper access; provided, neither Party shall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Confirmations</w:t>
      </w:r>
      <w:r>
        <w:rPr>
          <w:rFonts w:cs="Arial Narrow" w:ascii="Arial Narrow" w:hAnsi="Arial Narrow"/>
          <w:sz w:val="18"/>
          <w:szCs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2.5. </w:t>
      </w:r>
      <w:r>
        <w:rPr>
          <w:rFonts w:cs="Arial Narrow" w:ascii="Arial Narrow" w:hAnsi="Arial Narrow"/>
          <w:b/>
          <w:bCs/>
          <w:sz w:val="18"/>
          <w:szCs w:val="18"/>
          <w:u w:val="single"/>
        </w:rPr>
        <w:t>Enforcement of Transactions</w:t>
      </w:r>
      <w:r>
        <w:rPr>
          <w:rFonts w:cs="Arial Narrow" w:ascii="Arial Narrow" w:hAnsi="Arial Narrow"/>
          <w:sz w:val="18"/>
          <w:szCs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Sales Obligation</w:t>
      </w:r>
      <w:r>
        <w:rPr>
          <w:rFonts w:cs="Arial Narrow" w:ascii="Arial Narrow" w:hAnsi="Arial Narrow"/>
          <w:sz w:val="18"/>
          <w:szCs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szCs w:val="18"/>
          <w:u w:val="single"/>
        </w:rPr>
        <w:t>Buyer's Requested Quantity</w:t>
      </w:r>
      <w:r>
        <w:rPr>
          <w:rFonts w:cs="Arial Narrow" w:ascii="Arial Narrow" w:hAnsi="Arial Narrow"/>
          <w:sz w:val="18"/>
          <w:szCs w:val="18"/>
        </w:rPr>
        <w:t xml:space="preserve">").  Unless otherwise agreed nothing in this Agreement, and in particular this </w:t>
      </w:r>
      <w:r>
        <w:rPr>
          <w:rFonts w:cs="Arial Narrow" w:ascii="Arial Narrow" w:hAnsi="Arial Narrow"/>
          <w:sz w:val="18"/>
          <w:szCs w:val="18"/>
          <w:u w:val="single"/>
        </w:rPr>
        <w:t>Article 3</w:t>
      </w:r>
      <w:r>
        <w:rPr>
          <w:rFonts w:cs="Arial Narrow" w:ascii="Arial Narrow" w:hAnsi="Arial Narrow"/>
          <w:sz w:val="18"/>
          <w:szCs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Failure to Schedule</w:t>
      </w:r>
      <w:r>
        <w:rPr>
          <w:rFonts w:cs="Arial Narrow" w:ascii="Arial Narrow" w:hAnsi="Arial Narrow"/>
          <w:sz w:val="18"/>
          <w:szCs w:val="18"/>
        </w:rPr>
        <w:t>.  If on any Gas Day Seller fails to Schedule Buyer's Requested Quantity, then such occurrence shall constitute a "</w:t>
      </w:r>
      <w:r>
        <w:rPr>
          <w:rFonts w:cs="Arial Narrow" w:ascii="Arial Narrow" w:hAnsi="Arial Narrow"/>
          <w:sz w:val="18"/>
          <w:szCs w:val="18"/>
          <w:u w:val="single"/>
        </w:rPr>
        <w:t>Seller's Deficiency Default</w:t>
      </w:r>
      <w:r>
        <w:rPr>
          <w:rFonts w:cs="Arial Narrow" w:ascii="Arial Narrow" w:hAnsi="Arial Narrow"/>
          <w:sz w:val="18"/>
          <w:szCs w:val="18"/>
        </w:rPr>
        <w:t>" and "</w:t>
      </w:r>
      <w:r>
        <w:rPr>
          <w:rFonts w:cs="Arial Narrow" w:ascii="Arial Narrow" w:hAnsi="Arial Narrow"/>
          <w:sz w:val="18"/>
          <w:szCs w:val="18"/>
          <w:u w:val="single"/>
        </w:rPr>
        <w:t>Seller's Deficiency Quantity</w:t>
      </w:r>
      <w:r>
        <w:rPr>
          <w:rFonts w:cs="Arial Narrow" w:ascii="Arial Narrow" w:hAnsi="Arial Narrow"/>
          <w:sz w:val="18"/>
          <w:szCs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szCs w:val="18"/>
          <w:u w:val="single"/>
        </w:rPr>
        <w:t>plus</w:t>
      </w:r>
      <w:r>
        <w:rPr>
          <w:rFonts w:cs="Arial Narrow" w:ascii="Arial Narrow" w:hAnsi="Arial Narrow"/>
          <w:sz w:val="18"/>
          <w:szCs w:val="18"/>
        </w:rPr>
        <w:t xml:space="preserve"> (ii) liquidated damages equal to $0.10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szCs w:val="18"/>
          <w:u w:val="single"/>
        </w:rPr>
        <w:t>Section 3.5</w:t>
      </w:r>
      <w:r>
        <w:rPr>
          <w:rFonts w:cs="Arial Narrow" w:ascii="Arial Narrow" w:hAnsi="Arial Narrow"/>
          <w:sz w:val="18"/>
          <w:szCs w:val="18"/>
        </w:rPr>
        <w:t>, payment to Buyer shall be made on the 25th Day of the Month in which Seller receives Buyer's statement for same.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 Obligation</w:t>
      </w:r>
      <w:r>
        <w:rPr>
          <w:rFonts w:cs="Arial Narrow" w:ascii="Arial Narrow" w:hAnsi="Arial Narrow"/>
          <w:sz w:val="18"/>
          <w:szCs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5130" w:leader="none"/>
          <w:tab w:val="left" w:pos="5184" w:leader="none"/>
        </w:tabs>
        <w:jc w:val="both"/>
        <w:rPr/>
      </w:pPr>
      <w:r>
        <w:rPr>
          <w:rFonts w:cs="Arial Narrow" w:ascii="Arial Narrow" w:hAnsi="Arial Narrow"/>
          <w:b/>
          <w:bCs/>
          <w:sz w:val="18"/>
          <w:szCs w:val="18"/>
        </w:rPr>
        <w:t xml:space="preserve">3.4. </w:t>
      </w:r>
      <w:r>
        <w:rPr>
          <w:rFonts w:cs="Arial Narrow" w:ascii="Arial Narrow" w:hAnsi="Arial Narrow"/>
          <w:b/>
          <w:bCs/>
          <w:sz w:val="18"/>
          <w:szCs w:val="18"/>
          <w:u w:val="single"/>
        </w:rPr>
        <w:t>Buyer's Failure to Schedule</w:t>
      </w:r>
      <w:r>
        <w:rPr>
          <w:rFonts w:cs="Arial Narrow" w:ascii="Arial Narrow" w:hAnsi="Arial Narrow"/>
          <w:sz w:val="18"/>
          <w:szCs w:val="18"/>
        </w:rPr>
        <w:t>.  If on any Gas Day Buyer fails to Schedule the DCQ or MinDQ, if applicable, then such occurrence shall constitute a "</w:t>
      </w:r>
      <w:r>
        <w:rPr>
          <w:rFonts w:cs="Arial Narrow" w:ascii="Arial Narrow" w:hAnsi="Arial Narrow"/>
          <w:sz w:val="18"/>
          <w:szCs w:val="18"/>
          <w:u w:val="single"/>
        </w:rPr>
        <w:t>Buyer's Deficiency Default</w:t>
      </w:r>
      <w:r>
        <w:rPr>
          <w:rFonts w:cs="Arial Narrow" w:ascii="Arial Narrow" w:hAnsi="Arial Narrow"/>
          <w:sz w:val="18"/>
          <w:szCs w:val="18"/>
        </w:rPr>
        <w:t>" and "</w:t>
      </w:r>
      <w:r>
        <w:rPr>
          <w:rFonts w:cs="Arial Narrow" w:ascii="Arial Narrow" w:hAnsi="Arial Narrow"/>
          <w:sz w:val="18"/>
          <w:szCs w:val="18"/>
          <w:u w:val="single"/>
        </w:rPr>
        <w:t>Buyer's Deficiency Quantity</w:t>
      </w:r>
      <w:r>
        <w:rPr>
          <w:rFonts w:cs="Arial Narrow" w:ascii="Arial Narrow" w:hAnsi="Arial Narrow"/>
          <w:sz w:val="18"/>
          <w:szCs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szCs w:val="18"/>
          <w:u w:val="single"/>
        </w:rPr>
        <w:t>plus</w:t>
      </w:r>
      <w:r>
        <w:rPr>
          <w:rFonts w:cs="Arial Narrow" w:ascii="Arial Narrow" w:hAnsi="Arial Narrow"/>
          <w:sz w:val="18"/>
          <w:szCs w:val="18"/>
        </w:rPr>
        <w:t xml:space="preserve"> (ii) liquidated damages equal to           $0.10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szCs w:val="18"/>
          <w:u w:val="single"/>
        </w:rPr>
        <w:t>Section 3.5</w:t>
      </w:r>
      <w:r>
        <w:rPr>
          <w:rFonts w:cs="Arial Narrow" w:ascii="Arial Narrow" w:hAnsi="Arial Narrow"/>
          <w:sz w:val="18"/>
          <w:szCs w:val="18"/>
        </w:rPr>
        <w:t xml:space="preserve">, payment to Seller shall be made in accordance with the Financial Matters provisions set forth in </w:t>
      </w:r>
      <w:r>
        <w:rPr>
          <w:rFonts w:cs="Arial Narrow" w:ascii="Arial Narrow" w:hAnsi="Arial Narrow"/>
          <w:sz w:val="18"/>
          <w:szCs w:val="18"/>
          <w:u w:val="single"/>
        </w:rPr>
        <w:t>Appendix "1."</w:t>
      </w:r>
    </w:p>
    <w:p>
      <w:pPr>
        <w:pStyle w:val="Normal"/>
        <w:jc w:val="both"/>
        <w:rPr>
          <w:rFonts w:ascii="Arial Narrow" w:hAnsi="Arial Narrow" w:cs="Arial Narrow"/>
          <w:sz w:val="18"/>
          <w:szCs w:val="18"/>
          <w:u w:val="single"/>
        </w:rPr>
      </w:pPr>
      <w:r>
        <w:rPr>
          <w:rFonts w:cs="Arial Narrow" w:ascii="Arial Narrow" w:hAnsi="Arial Narrow"/>
          <w:sz w:val="18"/>
          <w:szCs w:val="18"/>
          <w:u w:val="single"/>
        </w:rPr>
      </w:r>
    </w:p>
    <w:p>
      <w:pPr>
        <w:pStyle w:val="Normal"/>
        <w:jc w:val="both"/>
        <w:rPr/>
      </w:pPr>
      <w:r>
        <w:rPr>
          <w:rFonts w:cs="Arial Narrow" w:ascii="Arial Narrow" w:hAnsi="Arial Narrow"/>
          <w:b/>
          <w:bCs/>
          <w:sz w:val="18"/>
          <w:szCs w:val="18"/>
        </w:rPr>
        <w:t xml:space="preserve">3.5. </w:t>
      </w:r>
      <w:r>
        <w:rPr>
          <w:rFonts w:cs="Arial Narrow" w:ascii="Arial Narrow" w:hAnsi="Arial Narrow"/>
          <w:b/>
          <w:bCs/>
          <w:sz w:val="18"/>
          <w:szCs w:val="18"/>
          <w:u w:val="single"/>
        </w:rPr>
        <w:t>Netting</w:t>
      </w:r>
      <w:r>
        <w:rPr>
          <w:rFonts w:cs="Arial Narrow" w:ascii="Arial Narrow" w:hAnsi="Arial Narrow"/>
          <w:sz w:val="18"/>
          <w:szCs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4.  DEFAULTS AND REMEDIES</w:t>
      </w:r>
      <w:r>
        <w:rPr>
          <w:rFonts w:cs="Arial Narrow" w:ascii="Arial Narrow" w:hAnsi="Arial Narrow"/>
          <w:b/>
          <w:bCs/>
          <w:sz w:val="18"/>
          <w:szCs w:val="18"/>
        </w:rPr>
        <w:t xml:space="preserve">  4.1.</w:t>
      </w:r>
      <w:r>
        <w:rPr>
          <w:rFonts w:cs="Arial Narrow" w:ascii="Arial Narrow" w:hAnsi="Arial Narrow"/>
          <w:sz w:val="18"/>
          <w:szCs w:val="18"/>
        </w:rPr>
        <w:t xml:space="preserve"> </w:t>
      </w:r>
      <w:r>
        <w:rPr>
          <w:rFonts w:cs="Arial Narrow" w:ascii="Arial Narrow" w:hAnsi="Arial Narrow"/>
          <w:b/>
          <w:bCs/>
          <w:sz w:val="18"/>
          <w:szCs w:val="18"/>
          <w:u w:val="single"/>
        </w:rPr>
        <w:t>Early Termination</w:t>
      </w:r>
      <w:r>
        <w:rPr>
          <w:rFonts w:cs="Arial Narrow" w:ascii="Arial Narrow" w:hAnsi="Arial Narrow"/>
          <w:sz w:val="18"/>
          <w:szCs w:val="18"/>
        </w:rPr>
        <w:t xml:space="preserve">.  If a Triggering Event (defined in </w:t>
      </w:r>
      <w:r>
        <w:rPr>
          <w:rFonts w:cs="Arial Narrow" w:ascii="Arial Narrow" w:hAnsi="Arial Narrow"/>
          <w:sz w:val="18"/>
          <w:szCs w:val="18"/>
          <w:u w:val="single"/>
        </w:rPr>
        <w:t>Section 4.2</w:t>
      </w:r>
      <w:r>
        <w:rPr>
          <w:rFonts w:cs="Arial Narrow" w:ascii="Arial Narrow" w:hAnsi="Arial Narrow"/>
          <w:sz w:val="18"/>
          <w:szCs w:val="18"/>
        </w:rPr>
        <w:t>) occurs with respect to either Party at any time during the term of this Agreement, the other Party (the "</w:t>
      </w:r>
      <w:r>
        <w:rPr>
          <w:rFonts w:cs="Arial Narrow" w:ascii="Arial Narrow" w:hAnsi="Arial Narrow"/>
          <w:sz w:val="18"/>
          <w:szCs w:val="18"/>
          <w:u w:val="single"/>
        </w:rPr>
        <w:t>Notifying Party</w:t>
      </w:r>
      <w:r>
        <w:rPr>
          <w:rFonts w:cs="Arial Narrow" w:ascii="Arial Narrow" w:hAnsi="Arial Narrow"/>
          <w:sz w:val="18"/>
          <w:szCs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szCs w:val="18"/>
          <w:u w:val="single"/>
        </w:rPr>
        <w:t>Early Termination Date</w:t>
      </w:r>
      <w:r>
        <w:rPr>
          <w:rFonts w:cs="Arial Narrow" w:ascii="Arial Narrow" w:hAnsi="Arial Narrow"/>
          <w:sz w:val="18"/>
          <w:szCs w:val="18"/>
        </w:rPr>
        <w:t xml:space="preserve">") except as provided in </w:t>
      </w:r>
      <w:r>
        <w:rPr>
          <w:rFonts w:cs="Arial Narrow" w:ascii="Arial Narrow" w:hAnsi="Arial Narrow"/>
          <w:sz w:val="18"/>
          <w:szCs w:val="18"/>
          <w:u w:val="single"/>
        </w:rPr>
        <w:t>Section 8.4</w:t>
      </w:r>
      <w:r>
        <w:rPr>
          <w:rFonts w:cs="Arial Narrow" w:ascii="Arial Narrow" w:hAnsi="Arial Narrow"/>
          <w:sz w:val="18"/>
          <w:szCs w:val="18"/>
        </w:rPr>
        <w:t xml:space="preserve">, and (ii) withhold any payments due in respect of such Transactions; provided, upon the occurrence of any Triggering Event listed in item (iv) of </w:t>
      </w:r>
      <w:r>
        <w:rPr>
          <w:rFonts w:cs="Arial Narrow" w:ascii="Arial Narrow" w:hAnsi="Arial Narrow"/>
          <w:sz w:val="18"/>
          <w:szCs w:val="18"/>
          <w:u w:val="single"/>
        </w:rPr>
        <w:t>Section 4.2</w:t>
      </w:r>
      <w:r>
        <w:rPr>
          <w:rFonts w:cs="Arial Narrow" w:ascii="Arial Narrow" w:hAnsi="Arial Narrow"/>
          <w:sz w:val="18"/>
          <w:szCs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szCs w:val="18"/>
          <w:u w:val="single"/>
        </w:rPr>
        <w:t>Section 8.4</w:t>
      </w:r>
      <w:r>
        <w:rPr>
          <w:rFonts w:cs="Arial Narrow" w:ascii="Arial Narrow" w:hAnsi="Arial Narrow"/>
          <w:sz w:val="18"/>
          <w:szCs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szCs w:val="18"/>
          <w:u w:val="single"/>
        </w:rPr>
        <w:t>Termination Payment</w:t>
      </w:r>
      <w:r>
        <w:rPr>
          <w:rFonts w:cs="Arial Narrow" w:ascii="Arial Narrow" w:hAnsi="Arial Narrow"/>
          <w:sz w:val="18"/>
          <w:szCs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szCs w:val="18"/>
          <w:u w:val="single"/>
        </w:rPr>
        <w:t>Section 4.2</w:t>
      </w:r>
      <w:r>
        <w:rPr>
          <w:rFonts w:cs="Arial Narrow" w:ascii="Arial Narrow" w:hAnsi="Arial Narrow"/>
          <w:sz w:val="18"/>
          <w:szCs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szCs w:val="18"/>
          <w:u w:val="single"/>
        </w:rPr>
        <w:t>Article 4</w:t>
      </w:r>
      <w:r>
        <w:rPr>
          <w:rFonts w:cs="Arial Narrow" w:ascii="Arial Narrow" w:hAnsi="Arial Narrow"/>
          <w:sz w:val="18"/>
          <w:szCs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woes to the Notifying Party ( under this Agreement  or otherwise) against any or all amounts which the Notifying Party owes to the Affected Party (either under this Agreement or otherwise).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cs="Arial Narrow" w:ascii="Arial Narrow" w:hAnsi="Arial Narrow"/>
          <w:b/>
          <w:bCs/>
          <w:sz w:val="18"/>
          <w:szCs w:val="18"/>
        </w:rPr>
        <w:t>4.2.</w:t>
      </w:r>
      <w:r>
        <w:rPr>
          <w:rFonts w:cs="Arial Narrow" w:ascii="Arial Narrow" w:hAnsi="Arial Narrow"/>
          <w:sz w:val="18"/>
          <w:szCs w:val="18"/>
        </w:rPr>
        <w:t xml:space="preserve"> </w:t>
      </w:r>
      <w:r>
        <w:rPr>
          <w:rFonts w:cs="Arial Narrow" w:ascii="Arial Narrow" w:hAnsi="Arial Narrow"/>
          <w:b/>
          <w:bCs/>
          <w:sz w:val="18"/>
          <w:szCs w:val="18"/>
          <w:u w:val="single"/>
        </w:rPr>
        <w:t>Triggering Event</w:t>
      </w:r>
      <w:r>
        <w:rPr>
          <w:rFonts w:cs="Arial Narrow" w:ascii="Arial Narrow" w:hAnsi="Arial Narrow"/>
          <w:sz w:val="18"/>
          <w:szCs w:val="18"/>
        </w:rPr>
        <w:t xml:space="preserve"> shall mean, with respect to a Party (the "</w:t>
      </w:r>
      <w:r>
        <w:rPr>
          <w:rFonts w:cs="Arial Narrow" w:ascii="Arial Narrow" w:hAnsi="Arial Narrow"/>
          <w:sz w:val="18"/>
          <w:szCs w:val="18"/>
          <w:u w:val="single"/>
        </w:rPr>
        <w:t>Affected Party</w:t>
      </w:r>
      <w:r>
        <w:rPr>
          <w:rFonts w:cs="Arial Narrow" w:ascii="Arial Narrow" w:hAnsi="Arial Narrow"/>
          <w:sz w:val="18"/>
          <w:szCs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szCs w:val="18"/>
          <w:u w:val="single"/>
        </w:rPr>
        <w:t>Section 4.2</w:t>
      </w:r>
      <w:r>
        <w:rPr>
          <w:rFonts w:cs="Arial Narrow" w:ascii="Arial Narrow" w:hAnsi="Arial Narrow"/>
          <w:sz w:val="18"/>
          <w:szCs w:val="18"/>
        </w:rPr>
        <w:t xml:space="preserve"> as a separate Triggering Event), and such failure is not excused by </w:t>
      </w:r>
      <w:r>
        <w:rPr>
          <w:rFonts w:cs="Arial Narrow" w:ascii="Arial Narrow" w:hAnsi="Arial Narrow"/>
          <w:sz w:val="18"/>
          <w:szCs w:val="18"/>
          <w:u w:val="single"/>
        </w:rPr>
        <w:t>Force Majeure</w:t>
      </w:r>
      <w:r>
        <w:rPr>
          <w:rFonts w:cs="Arial Narrow" w:ascii="Arial Narrow" w:hAnsi="Arial Narrow"/>
          <w:sz w:val="18"/>
          <w:szCs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szCs w:val="18"/>
          <w:u w:val="single"/>
        </w:rPr>
        <w:t>sum</w:t>
      </w:r>
      <w:r>
        <w:rPr>
          <w:rFonts w:cs="Arial Narrow" w:ascii="Arial Narrow" w:hAnsi="Arial Narrow"/>
          <w:sz w:val="18"/>
          <w:szCs w:val="18"/>
        </w:rPr>
        <w:t xml:space="preserve"> of (in each case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$250,000) (a) the Notifying Party's Termination Payment </w:t>
      </w:r>
      <w:r>
        <w:rPr>
          <w:rFonts w:cs="Arial Narrow" w:ascii="Arial Narrow" w:hAnsi="Arial Narrow"/>
          <w:sz w:val="18"/>
          <w:szCs w:val="18"/>
          <w:u w:val="single"/>
        </w:rPr>
        <w:t>plus</w:t>
      </w:r>
      <w:r>
        <w:rPr>
          <w:rFonts w:cs="Arial Narrow" w:ascii="Arial Narrow" w:hAnsi="Arial Narrow"/>
          <w:sz w:val="18"/>
          <w:szCs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$100,000,000, or (viii)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4.3. </w:t>
      </w:r>
      <w:r>
        <w:rPr>
          <w:rFonts w:cs="Arial Narrow" w:ascii="Arial Narrow" w:hAnsi="Arial Narrow"/>
          <w:b/>
          <w:bCs/>
          <w:sz w:val="18"/>
          <w:szCs w:val="18"/>
          <w:u w:val="single"/>
        </w:rPr>
        <w:t>Other Events</w:t>
      </w:r>
      <w:r>
        <w:rPr>
          <w:rFonts w:cs="Arial Narrow" w:ascii="Arial Narrow" w:hAnsi="Arial Narrow"/>
          <w:sz w:val="18"/>
          <w:szCs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szCs w:val="18"/>
          <w:u w:val="single"/>
        </w:rPr>
        <w:t>Section 4.1</w:t>
      </w:r>
      <w:r>
        <w:rPr>
          <w:rFonts w:cs="Arial Narrow" w:ascii="Arial Narrow" w:hAnsi="Arial Narrow"/>
          <w:sz w:val="18"/>
          <w:szCs w:val="18"/>
        </w:rPr>
        <w:t>.</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4.4. </w:t>
      </w:r>
      <w:r>
        <w:rPr>
          <w:rFonts w:cs="Arial Narrow" w:ascii="Arial Narrow" w:hAnsi="Arial Narrow"/>
          <w:b/>
          <w:bCs/>
          <w:sz w:val="18"/>
          <w:szCs w:val="18"/>
          <w:u w:val="single"/>
        </w:rPr>
        <w:t>Offset</w:t>
      </w:r>
      <w:r>
        <w:rPr>
          <w:rFonts w:cs="Arial Narrow" w:ascii="Arial Narrow" w:hAnsi="Arial Narrow"/>
          <w:sz w:val="18"/>
          <w:szCs w:val="18"/>
        </w:rPr>
        <w:t xml:space="preserve">.  Each Party reserves to itself all rights, set-offs, counterclaims and other remedies and defenses consistent with </w:t>
      </w:r>
      <w:r>
        <w:rPr>
          <w:rFonts w:cs="Arial Narrow" w:ascii="Arial Narrow" w:hAnsi="Arial Narrow"/>
          <w:sz w:val="18"/>
          <w:szCs w:val="18"/>
          <w:u w:val="single"/>
        </w:rPr>
        <w:t>Section 8.3</w:t>
      </w:r>
      <w:r>
        <w:rPr>
          <w:rFonts w:cs="Arial Narrow" w:ascii="Arial Narrow" w:hAnsi="Arial Narrow"/>
          <w:sz w:val="18"/>
          <w:szCs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4.5. </w:t>
      </w:r>
      <w:r>
        <w:rPr>
          <w:rFonts w:cs="Arial Narrow" w:ascii="Arial Narrow" w:hAnsi="Arial Narrow"/>
          <w:b/>
          <w:bCs/>
          <w:sz w:val="18"/>
          <w:szCs w:val="18"/>
          <w:u w:val="single"/>
        </w:rPr>
        <w:t>Security</w:t>
      </w:r>
      <w:r>
        <w:rPr>
          <w:rFonts w:cs="Arial Narrow" w:ascii="Arial Narrow" w:hAnsi="Arial Narrow"/>
          <w:sz w:val="18"/>
          <w:szCs w:val="18"/>
        </w:rPr>
        <w:t xml:space="preserve">.  In order to secure all payment obligations of Company to Customer hereunder, Company has caused its Guarantor to execute and deliver to Customer the guaranty attached as </w:t>
      </w:r>
      <w:r>
        <w:rPr>
          <w:rFonts w:cs="Arial Narrow" w:ascii="Arial Narrow" w:hAnsi="Arial Narrow"/>
          <w:sz w:val="18"/>
          <w:szCs w:val="18"/>
          <w:u w:val="single"/>
        </w:rPr>
        <w:t>Exhibit "C".</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4.6. </w:t>
      </w:r>
      <w:r>
        <w:rPr>
          <w:rFonts w:cs="Arial Narrow" w:ascii="Arial Narrow" w:hAnsi="Arial Narrow"/>
          <w:b/>
          <w:bCs/>
          <w:sz w:val="18"/>
          <w:szCs w:val="18"/>
          <w:u w:val="single"/>
        </w:rPr>
        <w:t>Collateral Requirement/Termination Payment Threshold</w:t>
      </w:r>
      <w:r>
        <w:rPr>
          <w:rFonts w:cs="Arial Narrow" w:ascii="Arial Narrow" w:hAnsi="Arial Narrow"/>
          <w:sz w:val="18"/>
          <w:szCs w:val="18"/>
        </w:rPr>
        <w:t>.  If at any time and from time to time during the term of this Agreement (and notwithstanding whether a Triggering Event has occurred) the Termination Payment that would be owed to a Party in respect of all Transactions then outstanding should exceed $25</w:t>
      </w:r>
      <w:r>
        <w:rPr>
          <w:rFonts w:cs="Arial Narrow" w:ascii="Arial Narrow" w:hAnsi="Arial Narrow"/>
          <w:color w:val="0000FF"/>
          <w:sz w:val="18"/>
          <w:szCs w:val="18"/>
        </w:rPr>
        <w:t>,000,000</w:t>
      </w:r>
      <w:r>
        <w:rPr>
          <w:rFonts w:cs="Arial Narrow" w:ascii="Arial Narrow" w:hAnsi="Arial Narrow"/>
          <w:sz w:val="18"/>
          <w:szCs w:val="18"/>
        </w:rPr>
        <w:t xml:space="preserve"> such Party as the Beneficiary Party may request the other Party to establish a Letter of Credit as the Account Party in an amount equal to the Termination Payment in excess of $25</w:t>
      </w:r>
      <w:r>
        <w:rPr>
          <w:rFonts w:cs="Arial Narrow" w:ascii="Arial Narrow" w:hAnsi="Arial Narrow"/>
          <w:color w:val="0000FF"/>
          <w:sz w:val="18"/>
          <w:szCs w:val="18"/>
        </w:rPr>
        <w:t>,000,000</w:t>
      </w:r>
      <w:r>
        <w:rPr>
          <w:rFonts w:cs="Arial Narrow" w:ascii="Arial Narrow" w:hAnsi="Arial Narrow"/>
          <w:sz w:val="18"/>
          <w:szCs w:val="18"/>
        </w:rPr>
        <w:t xml:space="preserve">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szCs w:val="18"/>
          <w:u w:val="single"/>
        </w:rPr>
        <w:t>any</w:t>
      </w:r>
      <w:r>
        <w:rPr>
          <w:rFonts w:cs="Arial Narrow" w:ascii="Arial Narrow" w:hAnsi="Arial Narrow"/>
          <w:sz w:val="18"/>
          <w:szCs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hereunder, it is agreed that upon such Party's giving notice and full particulars of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for a period of up to 60 Days in the aggregate during any 12 Month period, but for no longer period.  The Party receiving notice of </w:t>
      </w:r>
      <w:r>
        <w:rPr>
          <w:rFonts w:cs="Arial Narrow" w:ascii="Arial Narrow" w:hAnsi="Arial Narrow"/>
          <w:sz w:val="18"/>
          <w:szCs w:val="18"/>
          <w:u w:val="single"/>
        </w:rPr>
        <w:t>Force Majeure</w:t>
      </w:r>
      <w:r>
        <w:rPr>
          <w:rFonts w:cs="Arial Narrow" w:ascii="Arial Narrow" w:hAnsi="Arial Narrow"/>
          <w:sz w:val="18"/>
          <w:szCs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szCs w:val="18"/>
          <w:u w:val="single"/>
        </w:rPr>
        <w:t>Force Majeure</w:t>
      </w:r>
      <w:r>
        <w:rPr>
          <w:rFonts w:cs="Arial Narrow" w:ascii="Arial Narrow" w:hAnsi="Arial Narrow"/>
          <w:sz w:val="18"/>
          <w:szCs w:val="18"/>
        </w:rPr>
        <w:t xml:space="preserve"> shall no longer apply to the obligations hereunder and both Buyer and Seller shall be obligated to perform.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6.1.</w:t>
      </w:r>
      <w:r>
        <w:rPr>
          <w:rFonts w:cs="Arial Narrow" w:ascii="Arial Narrow" w:hAnsi="Arial Narrow"/>
          <w:sz w:val="18"/>
          <w:szCs w:val="18"/>
        </w:rPr>
        <w:t xml:space="preserve"> </w:t>
      </w:r>
      <w:r>
        <w:rPr>
          <w:rFonts w:cs="Arial Narrow" w:ascii="Arial Narrow" w:hAnsi="Arial Narrow"/>
          <w:b/>
          <w:bCs/>
          <w:sz w:val="18"/>
          <w:szCs w:val="18"/>
          <w:u w:val="single"/>
        </w:rPr>
        <w:t>Allocation of and Indemnity for Taxes</w:t>
      </w:r>
      <w:r>
        <w:rPr>
          <w:rFonts w:cs="Arial Narrow" w:ascii="Arial Narrow" w:hAnsi="Arial Narrow"/>
          <w:sz w:val="18"/>
          <w:szCs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6.2.</w:t>
      </w:r>
      <w:r>
        <w:rPr>
          <w:rFonts w:cs="Arial Narrow" w:ascii="Arial Narrow" w:hAnsi="Arial Narrow"/>
          <w:sz w:val="18"/>
          <w:szCs w:val="18"/>
        </w:rPr>
        <w:t xml:space="preserve"> </w:t>
      </w:r>
      <w:r>
        <w:rPr>
          <w:rFonts w:cs="Arial Narrow" w:ascii="Arial Narrow" w:hAnsi="Arial Narrow"/>
          <w:b/>
          <w:bCs/>
          <w:sz w:val="18"/>
          <w:szCs w:val="18"/>
          <w:u w:val="single"/>
        </w:rPr>
        <w:t>New Taxes</w:t>
      </w:r>
      <w:r>
        <w:rPr>
          <w:rFonts w:cs="Arial Narrow" w:ascii="Arial Narrow" w:hAnsi="Arial Narrow"/>
          <w:sz w:val="18"/>
          <w:szCs w:val="18"/>
        </w:rPr>
        <w:t xml:space="preserve">.  A.  If (i) a New Tax occurs </w:t>
      </w:r>
      <w:r>
        <w:rPr>
          <w:rFonts w:cs="Arial Narrow" w:ascii="Arial Narrow" w:hAnsi="Arial Narrow"/>
          <w:sz w:val="18"/>
          <w:szCs w:val="18"/>
          <w:u w:val="single"/>
        </w:rPr>
        <w:t>and</w:t>
      </w:r>
      <w:r>
        <w:rPr>
          <w:rFonts w:cs="Arial Narrow" w:ascii="Arial Narrow" w:hAnsi="Arial Narrow"/>
          <w:sz w:val="18"/>
          <w:szCs w:val="18"/>
        </w:rPr>
        <w:t xml:space="preserve"> (ii) Buyer or Seller would be responsible for such New Tax if it were a Tax under </w:t>
      </w:r>
      <w:r>
        <w:rPr>
          <w:rFonts w:cs="Arial Narrow" w:ascii="Arial Narrow" w:hAnsi="Arial Narrow"/>
          <w:sz w:val="18"/>
          <w:szCs w:val="18"/>
          <w:u w:val="single"/>
        </w:rPr>
        <w:t>Section 6.1</w:t>
      </w:r>
      <w:r>
        <w:rPr>
          <w:rFonts w:cs="Arial Narrow" w:ascii="Arial Narrow" w:hAnsi="Arial Narrow"/>
          <w:sz w:val="18"/>
          <w:szCs w:val="18"/>
        </w:rPr>
        <w:t xml:space="preserve"> </w:t>
      </w:r>
      <w:r>
        <w:rPr>
          <w:rFonts w:cs="Arial Narrow" w:ascii="Arial Narrow" w:hAnsi="Arial Narrow"/>
          <w:sz w:val="18"/>
          <w:szCs w:val="18"/>
          <w:u w:val="single"/>
        </w:rPr>
        <w:t>and</w:t>
      </w:r>
      <w:r>
        <w:rPr>
          <w:rFonts w:cs="Arial Narrow" w:ascii="Arial Narrow" w:hAnsi="Arial Narrow"/>
          <w:sz w:val="18"/>
          <w:szCs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szCs w:val="18"/>
          <w:u w:val="single"/>
        </w:rPr>
        <w:t>Paragraph A</w:t>
      </w:r>
      <w:r>
        <w:rPr>
          <w:rFonts w:cs="Arial Narrow" w:ascii="Arial Narrow" w:hAnsi="Arial Narrow"/>
          <w:sz w:val="18"/>
          <w:szCs w:val="18"/>
        </w:rPr>
        <w:t xml:space="preserve"> shall not apply.  B.  If (i) a New Tax occurs </w:t>
      </w:r>
      <w:r>
        <w:rPr>
          <w:rFonts w:cs="Arial Narrow" w:ascii="Arial Narrow" w:hAnsi="Arial Narrow"/>
          <w:sz w:val="18"/>
          <w:szCs w:val="18"/>
          <w:u w:val="single"/>
        </w:rPr>
        <w:t>and</w:t>
      </w:r>
      <w:r>
        <w:rPr>
          <w:rFonts w:cs="Arial Narrow" w:ascii="Arial Narrow" w:hAnsi="Arial Narrow"/>
          <w:sz w:val="18"/>
          <w:szCs w:val="18"/>
        </w:rPr>
        <w:t xml:space="preserve"> (ii) either Buyer or Seller would be responsible for such New Tax if it were a Tax under </w:t>
      </w:r>
      <w:r>
        <w:rPr>
          <w:rFonts w:cs="Arial Narrow" w:ascii="Arial Narrow" w:hAnsi="Arial Narrow"/>
          <w:sz w:val="18"/>
          <w:szCs w:val="18"/>
          <w:u w:val="single"/>
        </w:rPr>
        <w:t>Section 6.1</w:t>
      </w:r>
      <w:r>
        <w:rPr>
          <w:rFonts w:cs="Arial Narrow" w:ascii="Arial Narrow" w:hAnsi="Arial Narrow"/>
          <w:sz w:val="18"/>
          <w:szCs w:val="18"/>
        </w:rPr>
        <w:t xml:space="preserve">, </w:t>
      </w:r>
      <w:r>
        <w:rPr>
          <w:rFonts w:cs="Arial Narrow" w:ascii="Arial Narrow" w:hAnsi="Arial Narrow"/>
          <w:sz w:val="18"/>
          <w:szCs w:val="18"/>
          <w:u w:val="single"/>
        </w:rPr>
        <w:t>and</w:t>
      </w:r>
      <w:r>
        <w:rPr>
          <w:rFonts w:cs="Arial Narrow" w:ascii="Arial Narrow" w:hAnsi="Arial Narrow"/>
          <w:sz w:val="18"/>
          <w:szCs w:val="18"/>
        </w:rPr>
        <w:t xml:space="preserve"> (iii) Paragraph A does not apply, such responsible Buyer or Seller (the "</w:t>
      </w:r>
      <w:r>
        <w:rPr>
          <w:rFonts w:cs="Arial Narrow" w:ascii="Arial Narrow" w:hAnsi="Arial Narrow"/>
          <w:sz w:val="18"/>
          <w:szCs w:val="18"/>
          <w:u w:val="single"/>
        </w:rPr>
        <w:t>Taxed Party</w:t>
      </w:r>
      <w:r>
        <w:rPr>
          <w:rFonts w:cs="Arial Narrow" w:ascii="Arial Narrow" w:hAnsi="Arial Narrow"/>
          <w:sz w:val="18"/>
          <w:szCs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szCs w:val="18"/>
          <w:u w:val="single"/>
        </w:rPr>
        <w:t>Section 6.2</w:t>
      </w:r>
      <w:r>
        <w:rPr>
          <w:rFonts w:cs="Arial Narrow" w:ascii="Arial Narrow" w:hAnsi="Arial Narrow"/>
          <w:sz w:val="18"/>
          <w:szCs w:val="18"/>
        </w:rPr>
        <w:t xml:space="preserve">, New Taxes shall be allocated as if they were Taxes as provided in </w:t>
      </w:r>
      <w:r>
        <w:rPr>
          <w:rFonts w:cs="Arial Narrow" w:ascii="Arial Narrow" w:hAnsi="Arial Narrow"/>
          <w:sz w:val="18"/>
          <w:szCs w:val="18"/>
          <w:u w:val="single"/>
        </w:rPr>
        <w:t>Section 6.1</w:t>
      </w:r>
      <w:r>
        <w:rPr>
          <w:rFonts w:cs="Arial Narrow" w:ascii="Arial Narrow" w:hAnsi="Arial Narrow"/>
          <w:sz w:val="18"/>
          <w:szCs w:val="18"/>
        </w:rPr>
        <w:t>:  (a) the Taxed Party must give the non-Taxed Party at least 30 Days prior written notice (the "</w:t>
      </w:r>
      <w:r>
        <w:rPr>
          <w:rFonts w:cs="Arial Narrow" w:ascii="Arial Narrow" w:hAnsi="Arial Narrow"/>
          <w:sz w:val="18"/>
          <w:szCs w:val="18"/>
          <w:u w:val="single"/>
        </w:rPr>
        <w:t>Agreement Period</w:t>
      </w:r>
      <w:r>
        <w:rPr>
          <w:rFonts w:cs="Arial Narrow" w:ascii="Arial Narrow" w:hAnsi="Arial Narrow"/>
          <w:sz w:val="18"/>
          <w:szCs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szCs w:val="18"/>
          <w:u w:val="single"/>
        </w:rPr>
        <w:t>Section 6.2</w:t>
      </w:r>
      <w:r>
        <w:rPr>
          <w:rFonts w:cs="Arial Narrow" w:ascii="Arial Narrow" w:hAnsi="Arial Narrow"/>
          <w:sz w:val="18"/>
          <w:szCs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szCs w:val="18"/>
          <w:u w:val="single"/>
        </w:rPr>
        <w:t>Section 4.1</w:t>
      </w:r>
      <w:r>
        <w:rPr>
          <w:rFonts w:cs="Arial Narrow" w:ascii="Arial Narrow" w:hAnsi="Arial Narrow"/>
          <w:sz w:val="18"/>
          <w:szCs w:val="18"/>
        </w:rPr>
        <w:t xml:space="preserve"> shall be payable; provided, both Seller and Buyer pursuant to </w:t>
      </w:r>
      <w:r>
        <w:rPr>
          <w:rFonts w:cs="Arial Narrow" w:ascii="Arial Narrow" w:hAnsi="Arial Narrow"/>
          <w:sz w:val="18"/>
          <w:szCs w:val="18"/>
          <w:u w:val="single"/>
        </w:rPr>
        <w:t>Section 4.1</w:t>
      </w:r>
      <w:r>
        <w:rPr>
          <w:rFonts w:cs="Arial Narrow" w:ascii="Arial Narrow" w:hAnsi="Arial Narrow"/>
          <w:sz w:val="18"/>
          <w:szCs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szCs w:val="18"/>
          <w:u w:val="single"/>
        </w:rPr>
        <w:t>Section 4.1</w:t>
      </w:r>
      <w:r>
        <w:rPr>
          <w:rFonts w:cs="Arial Narrow" w:ascii="Arial Narrow" w:hAnsi="Arial Narrow"/>
          <w:sz w:val="18"/>
          <w:szCs w:val="18"/>
        </w:rPr>
        <w:t xml:space="preserve"> and its calculation shall be subject to arbitration as provided in the ENFOLIO General Provisions.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6.3.  </w:t>
      </w:r>
      <w:r>
        <w:rPr>
          <w:rFonts w:cs="Arial Narrow" w:ascii="Arial Narrow" w:hAnsi="Arial Narrow"/>
          <w:b/>
          <w:bCs/>
          <w:sz w:val="18"/>
          <w:szCs w:val="18"/>
          <w:u w:val="single"/>
        </w:rPr>
        <w:t>Cooperation</w:t>
      </w:r>
      <w:r>
        <w:rPr>
          <w:rFonts w:cs="Arial Narrow" w:ascii="Arial Narrow" w:hAnsi="Arial Narrow"/>
          <w:sz w:val="18"/>
          <w:szCs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br/>
        <w:br/>
        <w:br/>
        <w:br/>
      </w:r>
    </w:p>
    <w:p>
      <w:pPr>
        <w:pStyle w:val="Normal"/>
        <w:jc w:val="both"/>
        <w:rPr/>
      </w:pPr>
      <w:r>
        <w:rPr>
          <w:rFonts w:cs="Arial Narrow" w:ascii="Arial Narrow" w:hAnsi="Arial Narrow"/>
          <w:b/>
          <w:bCs/>
          <w:sz w:val="18"/>
          <w:szCs w:val="18"/>
          <w:u w:val="single"/>
        </w:rPr>
        <w:t>ARTICLE 7.  TITLE, RISK OF LOSS, INDEMNITY AND BALANCING</w:t>
      </w:r>
      <w:r>
        <w:rPr>
          <w:rFonts w:cs="Arial Narrow" w:ascii="Arial Narrow" w:hAnsi="Arial Narrow"/>
          <w:b/>
          <w:bCs/>
          <w:sz w:val="18"/>
          <w:szCs w:val="18"/>
        </w:rPr>
        <w:t xml:space="preserve">  7.1. </w:t>
      </w:r>
      <w:r>
        <w:rPr>
          <w:rFonts w:cs="Arial Narrow" w:ascii="Arial Narrow" w:hAnsi="Arial Narrow"/>
          <w:b/>
          <w:bCs/>
          <w:sz w:val="18"/>
          <w:szCs w:val="18"/>
          <w:u w:val="single"/>
        </w:rPr>
        <w:t>Title, Risk of Loss and Indemnity</w:t>
      </w:r>
      <w:r>
        <w:rPr>
          <w:rFonts w:cs="Arial Narrow" w:ascii="Arial Narrow" w:hAnsi="Arial Narrow"/>
          <w:sz w:val="18"/>
          <w:szCs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Correction of Imbalances, Cashouts and Penalties</w:t>
      </w:r>
      <w:r>
        <w:rPr>
          <w:rFonts w:cs="Arial Narrow" w:ascii="Arial Narrow" w:hAnsi="Arial Narrow"/>
          <w:sz w:val="18"/>
          <w:szCs w:val="18"/>
        </w:rPr>
        <w:t>.  Differences between Scheduled quantities and actual quantities delivered and received hereunder ("</w:t>
      </w:r>
      <w:r>
        <w:rPr>
          <w:rFonts w:cs="Arial Narrow" w:ascii="Arial Narrow" w:hAnsi="Arial Narrow"/>
          <w:sz w:val="18"/>
          <w:szCs w:val="18"/>
          <w:u w:val="single"/>
        </w:rPr>
        <w:t>Imbalances</w:t>
      </w:r>
      <w:r>
        <w:rPr>
          <w:rFonts w:cs="Arial Narrow" w:ascii="Arial Narrow" w:hAnsi="Arial Narrow"/>
          <w:sz w:val="18"/>
          <w:szCs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szCs w:val="18"/>
          <w:u w:val="single"/>
        </w:rPr>
        <w:t>Responsible Party</w:t>
      </w:r>
      <w:r>
        <w:rPr>
          <w:rFonts w:cs="Arial Narrow" w:ascii="Arial Narrow" w:hAnsi="Arial Narrow"/>
          <w:sz w:val="18"/>
          <w:szCs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szCs w:val="18"/>
          <w:u w:val="single"/>
        </w:rPr>
        <w:t>Responsible Party</w:t>
      </w:r>
      <w:r>
        <w:rPr>
          <w:rFonts w:cs="Arial Narrow" w:ascii="Arial Narrow" w:hAnsi="Arial Narrow"/>
          <w:sz w:val="18"/>
          <w:szCs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szCs w:val="18"/>
          <w:u w:val="single"/>
        </w:rPr>
        <w:t>Aggregate Transporter Imbalance</w:t>
      </w:r>
      <w:r>
        <w:rPr>
          <w:rFonts w:cs="Arial Narrow" w:ascii="Arial Narrow" w:hAnsi="Arial Narrow"/>
          <w:sz w:val="18"/>
          <w:szCs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u w:val="single"/>
        </w:rPr>
        <w:t>ARTICLE 8.  MISCELLANEOUS</w:t>
      </w:r>
      <w:r>
        <w:rPr>
          <w:rFonts w:cs="Arial Narrow" w:ascii="Arial Narrow" w:hAnsi="Arial Narrow"/>
          <w:b/>
          <w:bCs/>
          <w:sz w:val="18"/>
          <w:szCs w:val="18"/>
        </w:rPr>
        <w:t xml:space="preserve">  8.1.</w:t>
      </w:r>
      <w:r>
        <w:rPr>
          <w:rFonts w:cs="Arial Narrow" w:ascii="Arial Narrow" w:hAnsi="Arial Narrow"/>
          <w:sz w:val="18"/>
          <w:szCs w:val="18"/>
        </w:rPr>
        <w:t xml:space="preserve"> </w:t>
      </w:r>
      <w:r>
        <w:rPr>
          <w:rFonts w:cs="Arial Narrow" w:ascii="Arial Narrow" w:hAnsi="Arial Narrow"/>
          <w:b/>
          <w:bCs/>
          <w:sz w:val="18"/>
          <w:szCs w:val="18"/>
          <w:u w:val="single"/>
        </w:rPr>
        <w:t>Notices</w:t>
      </w:r>
      <w:r>
        <w:rPr>
          <w:rFonts w:cs="Arial Narrow" w:ascii="Arial Narrow" w:hAnsi="Arial Narrow"/>
          <w:sz w:val="18"/>
          <w:szCs w:val="18"/>
        </w:rPr>
        <w:t xml:space="preserve">.  All notices, including, without limitation, consents, and communications made pursuant to this Agreement shall be made as specified in </w:t>
      </w:r>
      <w:r>
        <w:rPr>
          <w:rFonts w:cs="Arial Narrow" w:ascii="Arial Narrow" w:hAnsi="Arial Narrow"/>
          <w:sz w:val="18"/>
          <w:szCs w:val="18"/>
          <w:u w:val="single"/>
        </w:rPr>
        <w:t>Exhibit "A."</w:t>
      </w:r>
      <w:r>
        <w:rPr>
          <w:rFonts w:cs="Arial Narrow" w:ascii="Arial Narrow" w:hAnsi="Arial Narrow"/>
          <w:sz w:val="18"/>
          <w:szCs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szCs w:val="18"/>
          <w:u w:val="single"/>
        </w:rPr>
        <w:t>Exhibit "A."</w:t>
      </w:r>
      <w:r>
        <w:rPr>
          <w:rFonts w:cs="Arial Narrow" w:ascii="Arial Narrow" w:hAnsi="Arial Narrow"/>
          <w:sz w:val="18"/>
          <w:szCs w:val="18"/>
        </w:rPr>
        <w:t xml:space="preserve">  Any Party may change its addresses by providing notice of same in accordance herewith.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spacing w:before="240" w:after="0"/>
        <w:jc w:val="both"/>
        <w:rPr/>
      </w:pPr>
      <w:r>
        <w:rPr>
          <w:rFonts w:cs="Arial Narrow" w:ascii="Arial Narrow" w:hAnsi="Arial Narrow"/>
          <w:b/>
          <w:bCs/>
          <w:sz w:val="18"/>
          <w:szCs w:val="18"/>
        </w:rPr>
        <w:t>8.2.</w:t>
      </w:r>
      <w:r>
        <w:rPr>
          <w:rFonts w:cs="Arial Narrow" w:ascii="Arial Narrow" w:hAnsi="Arial Narrow"/>
          <w:sz w:val="18"/>
          <w:szCs w:val="18"/>
        </w:rPr>
        <w:t xml:space="preserve"> </w:t>
      </w:r>
      <w:r>
        <w:rPr>
          <w:rFonts w:cs="Arial Narrow" w:ascii="Arial Narrow" w:hAnsi="Arial Narrow"/>
          <w:b/>
          <w:bCs/>
          <w:sz w:val="18"/>
          <w:szCs w:val="18"/>
          <w:u w:val="single"/>
        </w:rPr>
        <w:t>Transfer</w:t>
      </w:r>
      <w:r>
        <w:rPr>
          <w:rFonts w:cs="Arial Narrow" w:ascii="Arial Narrow" w:hAnsi="Arial Narrow"/>
          <w:sz w:val="18"/>
          <w:szCs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any person or entity succeeding to all or substantially all of the assets of such Party.  Any Party's transfer in violation of this </w:t>
      </w:r>
      <w:r>
        <w:rPr>
          <w:rFonts w:cs="Arial Narrow" w:ascii="Arial Narrow" w:hAnsi="Arial Narrow"/>
          <w:sz w:val="18"/>
          <w:szCs w:val="18"/>
          <w:u w:val="single"/>
        </w:rPr>
        <w:t>Section 8.2</w:t>
      </w:r>
      <w:r>
        <w:rPr>
          <w:rFonts w:cs="Arial Narrow" w:ascii="Arial Narrow" w:hAnsi="Arial Narrow"/>
          <w:sz w:val="18"/>
          <w:szCs w:val="18"/>
        </w:rPr>
        <w:t xml:space="preserve"> shall be void.</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8.3.</w:t>
      </w:r>
      <w:r>
        <w:rPr>
          <w:rFonts w:cs="Arial Narrow" w:ascii="Arial Narrow" w:hAnsi="Arial Narrow"/>
          <w:sz w:val="18"/>
          <w:szCs w:val="18"/>
        </w:rPr>
        <w:t xml:space="preserve"> </w:t>
      </w:r>
      <w:r>
        <w:rPr>
          <w:rFonts w:cs="Arial Narrow" w:ascii="Arial Narrow" w:hAnsi="Arial Narrow"/>
          <w:b/>
          <w:bCs/>
          <w:sz w:val="18"/>
          <w:szCs w:val="18"/>
          <w:u w:val="single"/>
        </w:rPr>
        <w:t>Limitation of Remedies, Liability and Damages and Mitigation</w:t>
      </w:r>
      <w:r>
        <w:rPr>
          <w:rFonts w:cs="Arial Narrow" w:ascii="Arial Narrow" w:hAnsi="Arial Narrow"/>
          <w:sz w:val="18"/>
          <w:szCs w:val="18"/>
        </w:rPr>
        <w:t xml:space="preserve">.  </w:t>
      </w:r>
      <w:r>
        <w:rPr>
          <w:rFonts w:cs="Arial Narrow" w:ascii="Arial Narrow" w:hAnsi="Arial Narrow"/>
          <w:caps/>
          <w:sz w:val="18"/>
          <w:szCs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szCs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8.4.</w:t>
      </w:r>
      <w:r>
        <w:rPr>
          <w:rFonts w:cs="Arial Narrow" w:ascii="Arial Narrow" w:hAnsi="Arial Narrow"/>
          <w:sz w:val="18"/>
          <w:szCs w:val="18"/>
        </w:rPr>
        <w:t xml:space="preserve"> </w:t>
      </w:r>
      <w:r>
        <w:rPr>
          <w:rFonts w:cs="Arial Narrow" w:ascii="Arial Narrow" w:hAnsi="Arial Narrow"/>
          <w:b/>
          <w:bCs/>
          <w:sz w:val="18"/>
          <w:szCs w:val="18"/>
          <w:u w:val="single"/>
        </w:rPr>
        <w:t>Winding Up Arrangements</w:t>
      </w:r>
      <w:r>
        <w:rPr>
          <w:rFonts w:cs="Arial Narrow" w:ascii="Arial Narrow" w:hAnsi="Arial Narrow"/>
          <w:sz w:val="18"/>
          <w:szCs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cs="Arial Narrow" w:ascii="Arial Narrow" w:hAnsi="Arial Narrow"/>
          <w:b/>
          <w:bCs/>
          <w:sz w:val="18"/>
          <w:szCs w:val="18"/>
        </w:rPr>
        <w:t>8.5.</w:t>
      </w:r>
      <w:r>
        <w:rPr>
          <w:rFonts w:cs="Arial Narrow" w:ascii="Arial Narrow" w:hAnsi="Arial Narrow"/>
          <w:sz w:val="18"/>
          <w:szCs w:val="18"/>
        </w:rPr>
        <w:t xml:space="preserve"> </w:t>
      </w:r>
      <w:r>
        <w:rPr>
          <w:rFonts w:cs="Arial Narrow" w:ascii="Arial Narrow" w:hAnsi="Arial Narrow"/>
          <w:b/>
          <w:bCs/>
          <w:sz w:val="18"/>
          <w:szCs w:val="18"/>
          <w:u w:val="single"/>
        </w:rPr>
        <w:t>Applicable Law</w:t>
      </w:r>
      <w:r>
        <w:rPr>
          <w:rFonts w:cs="Arial Narrow" w:ascii="Arial Narrow" w:hAnsi="Arial Narrow"/>
          <w:sz w:val="18"/>
          <w:szCs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8.6.</w:t>
      </w:r>
      <w:r>
        <w:rPr>
          <w:rFonts w:cs="Arial Narrow" w:ascii="Arial Narrow" w:hAnsi="Arial Narrow"/>
          <w:sz w:val="18"/>
          <w:szCs w:val="18"/>
        </w:rPr>
        <w:t xml:space="preserve"> </w:t>
      </w:r>
      <w:r>
        <w:rPr>
          <w:rFonts w:cs="Arial Narrow" w:ascii="Arial Narrow" w:hAnsi="Arial Narrow"/>
          <w:b/>
          <w:bCs/>
          <w:sz w:val="18"/>
          <w:szCs w:val="18"/>
          <w:u w:val="single"/>
        </w:rPr>
        <w:t>Document, Record Retention and Evidence</w:t>
      </w:r>
      <w:r>
        <w:rPr>
          <w:rFonts w:cs="Arial Narrow" w:ascii="Arial Narrow" w:hAnsi="Arial Narrow"/>
          <w:sz w:val="18"/>
          <w:szCs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szCs w:val="18"/>
          <w:u w:val="single"/>
        </w:rPr>
        <w:t>Transaction Procedures</w:t>
      </w:r>
      <w:r>
        <w:rPr>
          <w:rFonts w:cs="Arial Narrow" w:ascii="Arial Narrow" w:hAnsi="Arial Narrow"/>
          <w:sz w:val="18"/>
          <w:szCs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8.7.  </w:t>
      </w:r>
      <w:r>
        <w:rPr>
          <w:rFonts w:cs="Arial Narrow" w:ascii="Arial Narrow" w:hAnsi="Arial Narrow"/>
          <w:b/>
          <w:bCs/>
          <w:sz w:val="18"/>
          <w:szCs w:val="18"/>
          <w:u w:val="single"/>
        </w:rPr>
        <w:t>Forward Contract</w:t>
      </w:r>
      <w:r>
        <w:rPr>
          <w:rFonts w:cs="Arial Narrow" w:ascii="Arial Narrow" w:hAnsi="Arial Narrow"/>
          <w:b/>
          <w:bCs/>
          <w:sz w:val="18"/>
          <w:szCs w:val="18"/>
        </w:rPr>
        <w:t xml:space="preserve">.  </w:t>
      </w:r>
      <w:r>
        <w:rPr>
          <w:rFonts w:cs="Arial Narrow" w:ascii="Arial Narrow" w:hAnsi="Arial Narrow"/>
          <w:sz w:val="18"/>
          <w:szCs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8.8. </w:t>
      </w:r>
      <w:r>
        <w:rPr>
          <w:rFonts w:cs="Arial Narrow" w:ascii="Arial Narrow" w:hAnsi="Arial Narrow"/>
          <w:b/>
          <w:bCs/>
          <w:sz w:val="18"/>
          <w:szCs w:val="18"/>
          <w:u w:val="single"/>
        </w:rPr>
        <w:t>Confidentiality</w:t>
      </w:r>
      <w:r>
        <w:rPr>
          <w:rFonts w:cs="Arial Narrow" w:ascii="Arial Narrow" w:hAnsi="Arial Narrow"/>
          <w:sz w:val="18"/>
          <w:szCs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szCs w:val="18"/>
          <w:u w:val="single"/>
        </w:rPr>
        <w:t>Section 8.3</w:t>
      </w:r>
      <w:r>
        <w:rPr>
          <w:rFonts w:cs="Arial Narrow" w:ascii="Arial Narrow" w:hAnsi="Arial Narrow"/>
          <w:sz w:val="18"/>
          <w:szCs w:val="18"/>
        </w:rPr>
        <w:t>.</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ind w:firstLine="720" w:end="0"/>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to be construed as one effective as of the Effective Date.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Printed Name:</w:t>
      </w:r>
      <w:r>
        <w:rPr>
          <w:rFonts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CARGILL ENERGY a, DIVISION OF CARGILL ,INCORPORATED</w:t>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Printed Name:</w:t>
      </w:r>
      <w:r>
        <w:rPr>
          <w:rFonts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cs="Arial Narrow"/>
          <w:sz w:val="16"/>
          <w:szCs w:val="16"/>
          <w:u w:val="single"/>
        </w:rPr>
      </w:pPr>
      <w:r>
        <w:rPr>
          <w:rFonts w:cs="Arial Narrow" w:ascii="Arial Narrow" w:hAnsi="Arial Narrow"/>
          <w:sz w:val="16"/>
          <w:szCs w:val="16"/>
        </w:rPr>
        <w:fldChar w:fldCharType="begin"/>
      </w:r>
      <w:r>
        <w:rPr>
          <w:sz w:val="16"/>
          <w:szCs w:val="16"/>
          <w:rFonts w:cs="Arial Narrow" w:ascii="Arial Narrow" w:hAnsi="Arial Narrow"/>
        </w:rPr>
        <w:instrText xml:space="preserve"> FILENAME \p </w:instrText>
      </w:r>
      <w:r>
        <w:rPr>
          <w:sz w:val="16"/>
          <w:szCs w:val="16"/>
          <w:rFonts w:cs="Arial Narrow" w:ascii="Arial Narrow" w:hAnsi="Arial Narrow"/>
        </w:rPr>
        <w:fldChar w:fldCharType="separate"/>
      </w:r>
      <w:r>
        <w:rPr>
          <w:sz w:val="16"/>
          <w:szCs w:val="16"/>
          <w:rFonts w:cs="Arial Narrow" w:ascii="Arial Narrow" w:hAnsi="Arial Narrow"/>
        </w:rPr>
        <w:t>/mnt/main-storage/datasets/enron-docs/doc/Cargill_Energy__clean_doc_.doc</w:t>
      </w:r>
      <w:r>
        <w:rPr>
          <w:sz w:val="16"/>
          <w:szCs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 and Definitions</w:t>
      </w:r>
      <w:r>
        <w:rPr>
          <w:rFonts w:cs="Arial Narrow" w:ascii="Arial Narrow" w:hAnsi="Arial Narrow"/>
          <w:sz w:val="18"/>
          <w:szCs w:val="18"/>
        </w:rPr>
        <w:t xml:space="preserve"> </w:t>
      </w:r>
    </w:p>
    <w:p>
      <w:pPr>
        <w:pStyle w:val="Normal"/>
        <w:jc w:val="both"/>
        <w:rPr>
          <w:rFonts w:ascii="Arial Narrow" w:hAnsi="Arial Narrow" w:cs="Arial Narrow"/>
          <w:sz w:val="18"/>
          <w:szCs w:val="18"/>
        </w:rPr>
      </w:pPr>
      <w:r>
        <w:rPr>
          <w:rFonts w:cs="Arial Narrow" w:ascii="Arial Narrow" w:hAnsi="Arial Narrow"/>
          <w:sz w:val="18"/>
          <w:szCs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szCs w:val="18"/>
          <w:u w:val="single"/>
        </w:rPr>
        <w:t>"</w:t>
      </w:r>
      <w:r>
        <w:rPr>
          <w:rFonts w:cs="Arial Narrow" w:ascii="Arial Narrow" w:hAnsi="Arial Narrow"/>
          <w:b/>
          <w:bCs/>
          <w:i/>
          <w:iCs/>
          <w:sz w:val="18"/>
          <w:szCs w:val="18"/>
          <w:u w:val="single"/>
        </w:rPr>
        <w:t>Affiliate</w:t>
      </w:r>
      <w:r>
        <w:rPr>
          <w:rFonts w:cs="Arial Narrow" w:ascii="Arial Narrow" w:hAnsi="Arial Narrow"/>
          <w:sz w:val="18"/>
          <w:szCs w:val="18"/>
          <w:u w:val="single"/>
        </w:rPr>
        <w:t>”</w:t>
      </w:r>
      <w:r>
        <w:rPr>
          <w:rFonts w:cs="Arial Narrow" w:ascii="Arial Narrow" w:hAnsi="Arial Narrow"/>
          <w:sz w:val="18"/>
          <w:szCs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 million Btus.</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Buyer</w:t>
      </w:r>
      <w:r>
        <w:rPr>
          <w:rFonts w:cs="Arial Narrow" w:ascii="Arial Narrow" w:hAnsi="Arial Narrow"/>
          <w:sz w:val="18"/>
          <w:szCs w:val="18"/>
        </w:rPr>
        <w:t>" means the Party to a Transaction who is obligated to purchase Gas during a Period of Delivery.</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szCs w:val="18"/>
          <w:u w:val="single"/>
        </w:rPr>
        <w:t>Exhibit B."</w:t>
      </w:r>
    </w:p>
    <w:p>
      <w:pPr>
        <w:pStyle w:val="Normal"/>
        <w:ind w:start="360" w:end="0"/>
        <w:jc w:val="both"/>
        <w:rPr>
          <w:rFonts w:ascii="Arial Narrow" w:hAnsi="Arial Narrow" w:cs="Arial Narrow"/>
          <w:sz w:val="18"/>
          <w:szCs w:val="18"/>
          <w:u w:val="single"/>
        </w:rPr>
      </w:pPr>
      <w:r>
        <w:rPr>
          <w:rFonts w:cs="Arial Narrow" w:ascii="Arial Narrow" w:hAnsi="Arial Narrow"/>
          <w:sz w:val="18"/>
          <w:szCs w:val="18"/>
        </w:rPr>
        <w:t>"</w:t>
      </w:r>
      <w:r>
        <w:rPr>
          <w:rFonts w:cs="Arial Narrow" w:ascii="Arial Narrow" w:hAnsi="Arial Narrow"/>
          <w:b/>
          <w:bCs/>
          <w:i/>
          <w:iCs/>
          <w:sz w:val="18"/>
          <w:szCs w:val="18"/>
          <w:u w:val="single"/>
        </w:rPr>
        <w:t>Confirm Deadline</w:t>
      </w:r>
      <w:r>
        <w:rPr>
          <w:rFonts w:cs="Arial Narrow" w:ascii="Arial Narrow" w:hAnsi="Arial Narrow"/>
          <w:sz w:val="18"/>
          <w:szCs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Contract Price</w:t>
      </w:r>
      <w:r>
        <w:rPr>
          <w:rFonts w:cs="Arial Narrow" w:ascii="Arial Narrow" w:hAnsi="Arial Narrow"/>
          <w:sz w:val="18"/>
          <w:szCs w:val="18"/>
        </w:rPr>
        <w:t>" means the price for the purchase or sale of Gas pursuant to a Transaction.</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Daily Contract Quantity</w:t>
      </w:r>
      <w:r>
        <w:rPr>
          <w:rFonts w:cs="Arial Narrow" w:ascii="Arial Narrow" w:hAnsi="Arial Narrow"/>
          <w:sz w:val="18"/>
          <w:szCs w:val="18"/>
          <w:u w:val="single"/>
        </w:rPr>
        <w:t>"</w:t>
      </w:r>
      <w:r>
        <w:rPr>
          <w:rFonts w:cs="Arial Narrow" w:ascii="Arial Narrow" w:hAnsi="Arial Narrow"/>
          <w:i/>
          <w:iCs/>
          <w:sz w:val="18"/>
          <w:szCs w:val="18"/>
          <w:u w:val="single"/>
        </w:rPr>
        <w:t xml:space="preserve"> ("</w:t>
      </w:r>
      <w:r>
        <w:rPr>
          <w:rFonts w:cs="Arial Narrow" w:ascii="Arial Narrow" w:hAnsi="Arial Narrow"/>
          <w:b/>
          <w:bCs/>
          <w:i/>
          <w:iCs/>
          <w:sz w:val="18"/>
          <w:szCs w:val="18"/>
          <w:u w:val="single"/>
        </w:rPr>
        <w:t>DCQ</w:t>
      </w:r>
      <w:r>
        <w:rPr>
          <w:rFonts w:cs="Arial Narrow" w:ascii="Arial Narrow" w:hAnsi="Arial Narrow"/>
          <w:i/>
          <w:iCs/>
          <w:sz w:val="18"/>
          <w:szCs w:val="18"/>
          <w:u w:val="single"/>
        </w:rPr>
        <w:t>")</w:t>
      </w:r>
      <w:r>
        <w:rPr>
          <w:rFonts w:cs="Arial Narrow" w:ascii="Arial Narrow" w:hAnsi="Arial Narrow"/>
          <w:sz w:val="18"/>
          <w:szCs w:val="18"/>
        </w:rPr>
        <w:t xml:space="preserve"> means the quantity of Gas to be Scheduled each Gas Day pursuant to a Transaction.</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a period of 24 consecutive hours, beginning at midnight C.T. on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local time.  "</w:t>
      </w:r>
      <w:r>
        <w:rPr>
          <w:rFonts w:cs="Arial Narrow" w:ascii="Arial Narrow" w:hAnsi="Arial Narrow"/>
          <w:b/>
          <w:bCs/>
          <w:i/>
          <w:iCs/>
          <w:sz w:val="18"/>
          <w:szCs w:val="18"/>
          <w:u w:val="single"/>
        </w:rPr>
        <w:t>Gas Day</w:t>
      </w:r>
      <w:r>
        <w:rPr>
          <w:rFonts w:cs="Arial Narrow" w:ascii="Arial Narrow" w:hAnsi="Arial Narrow"/>
          <w:sz w:val="18"/>
          <w:szCs w:val="18"/>
        </w:rPr>
        <w:t>" means a period of 24 consecutive hours beginning at the time of the applicable Transporter's gas day.</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Delivery Point(s)</w:t>
      </w:r>
      <w:r>
        <w:rPr>
          <w:rFonts w:cs="Arial Narrow" w:ascii="Arial Narrow" w:hAnsi="Arial Narrow"/>
          <w:sz w:val="18"/>
          <w:szCs w:val="18"/>
        </w:rPr>
        <w:t>" means the agreed point(s) of delivery pursuant to a Transaction.</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GAAP</w:t>
      </w:r>
      <w:r>
        <w:rPr>
          <w:rFonts w:cs="Arial Narrow" w:ascii="Arial Narrow" w:hAnsi="Arial Narrow"/>
          <w:sz w:val="18"/>
          <w:szCs w:val="18"/>
        </w:rPr>
        <w:t>" means generally accepted accounting principles, consistently applied.</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Guarantor</w:t>
      </w:r>
      <w:r>
        <w:rPr>
          <w:rFonts w:cs="Arial Narrow" w:ascii="Arial Narrow" w:hAnsi="Arial Narrow"/>
          <w:sz w:val="18"/>
          <w:szCs w:val="18"/>
        </w:rPr>
        <w:t>" means, as to Company, Company's ultimate parent, Enron Corp.</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Letter of Credit</w:t>
      </w:r>
      <w:r>
        <w:rPr>
          <w:rFonts w:cs="Arial Narrow" w:ascii="Arial Narrow" w:hAnsi="Arial Narrow"/>
          <w:sz w:val="18"/>
          <w:szCs w:val="18"/>
        </w:rPr>
        <w:t>" means an irrevocable standby letter of credit established by a Party (the "</w:t>
      </w:r>
      <w:r>
        <w:rPr>
          <w:rFonts w:cs="Arial Narrow" w:ascii="Arial Narrow" w:hAnsi="Arial Narrow"/>
          <w:sz w:val="18"/>
          <w:szCs w:val="18"/>
          <w:u w:val="single"/>
        </w:rPr>
        <w:t>Account Party</w:t>
      </w:r>
      <w:r>
        <w:rPr>
          <w:rFonts w:cs="Arial Narrow" w:ascii="Arial Narrow" w:hAnsi="Arial Narrow"/>
          <w:sz w:val="18"/>
          <w:szCs w:val="18"/>
        </w:rPr>
        <w:t>") and issued or confirmed in a form and by a commercial bank acceptable to the Party in whose favor it is issued (the "</w:t>
      </w:r>
      <w:r>
        <w:rPr>
          <w:rFonts w:cs="Arial Narrow" w:ascii="Arial Narrow" w:hAnsi="Arial Narrow"/>
          <w:sz w:val="18"/>
          <w:szCs w:val="18"/>
          <w:u w:val="single"/>
        </w:rPr>
        <w:t>Beneficiary Party</w:t>
      </w:r>
      <w:r>
        <w:rPr>
          <w:rFonts w:cs="Arial Narrow" w:ascii="Arial Narrow" w:hAnsi="Arial Narrow"/>
          <w:sz w:val="18"/>
          <w:szCs w:val="18"/>
        </w:rPr>
        <w:t>").</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Material Adverse Change</w:t>
      </w:r>
      <w:r>
        <w:rPr>
          <w:rFonts w:cs="Arial Narrow" w:ascii="Arial Narrow" w:hAnsi="Arial Narrow"/>
          <w:sz w:val="18"/>
          <w:szCs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MaxDQ</w:t>
      </w:r>
      <w:r>
        <w:rPr>
          <w:rFonts w:cs="Arial Narrow" w:ascii="Arial Narrow" w:hAnsi="Arial Narrow"/>
          <w:sz w:val="18"/>
          <w:szCs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Maximum Daily Delivery Point Quantity</w:t>
      </w:r>
      <w:r>
        <w:rPr>
          <w:rFonts w:cs="Arial Narrow" w:ascii="Arial Narrow" w:hAnsi="Arial Narrow"/>
          <w:sz w:val="18"/>
          <w:szCs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MinDQ</w:t>
      </w:r>
      <w:r>
        <w:rPr>
          <w:rFonts w:cs="Arial Narrow" w:ascii="Arial Narrow" w:hAnsi="Arial Narrow"/>
          <w:sz w:val="18"/>
          <w:szCs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MinMQ</w:t>
      </w:r>
      <w:r>
        <w:rPr>
          <w:rFonts w:cs="Arial Narrow" w:ascii="Arial Narrow" w:hAnsi="Arial Narrow"/>
          <w:sz w:val="18"/>
          <w:szCs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Period of Delivery</w:t>
      </w:r>
      <w:r>
        <w:rPr>
          <w:rFonts w:cs="Arial Narrow" w:ascii="Arial Narrow" w:hAnsi="Arial Narrow"/>
          <w:sz w:val="18"/>
          <w:szCs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Pipeline</w:t>
      </w:r>
      <w:r>
        <w:rPr>
          <w:rFonts w:cs="Arial Narrow" w:ascii="Arial Narrow" w:hAnsi="Arial Narrow"/>
          <w:sz w:val="18"/>
          <w:szCs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Pricing Hours</w:t>
      </w:r>
      <w:r>
        <w:rPr>
          <w:rFonts w:cs="Arial Narrow" w:ascii="Arial Narrow" w:hAnsi="Arial Narrow"/>
          <w:sz w:val="18"/>
          <w:szCs w:val="18"/>
        </w:rPr>
        <w:t>" means the hours C.T. from 8:00 a.m. to 5:00 p.m. of each Business Day.</w:t>
      </w:r>
    </w:p>
    <w:p>
      <w:pPr>
        <w:pStyle w:val="Normal"/>
        <w:ind w:start="360" w:end="0"/>
        <w:jc w:val="both"/>
        <w:rPr/>
      </w:pPr>
      <w:r>
        <w:rPr>
          <w:rFonts w:cs="Arial Narrow" w:ascii="Arial Narrow" w:hAnsi="Arial Narrow"/>
          <w:sz w:val="18"/>
          <w:szCs w:val="18"/>
        </w:rPr>
        <w:t>"</w:t>
      </w:r>
      <w:r>
        <w:rPr>
          <w:rFonts w:cs="Arial Narrow" w:ascii="Arial Narrow" w:hAnsi="Arial Narrow"/>
          <w:b/>
          <w:bCs/>
          <w:sz w:val="18"/>
          <w:szCs w:val="18"/>
          <w:u w:val="single"/>
        </w:rPr>
        <w:t>Replacement Price Differential</w:t>
      </w:r>
      <w:r>
        <w:rPr>
          <w:rFonts w:cs="Arial Narrow" w:ascii="Arial Narrow" w:hAnsi="Arial Narrow"/>
          <w:sz w:val="18"/>
          <w:szCs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Scheduling</w:t>
      </w:r>
      <w:r>
        <w:rPr>
          <w:rFonts w:cs="Arial Narrow" w:ascii="Arial Narrow" w:hAnsi="Arial Narrow"/>
          <w:sz w:val="18"/>
          <w:szCs w:val="18"/>
        </w:rPr>
        <w:t>" or "</w:t>
      </w:r>
      <w:r>
        <w:rPr>
          <w:rFonts w:cs="Arial Narrow" w:ascii="Arial Narrow" w:hAnsi="Arial Narrow"/>
          <w:b/>
          <w:bCs/>
          <w:i/>
          <w:iCs/>
          <w:sz w:val="18"/>
          <w:szCs w:val="18"/>
          <w:u w:val="single"/>
        </w:rPr>
        <w:t>Schedule</w:t>
      </w:r>
      <w:r>
        <w:rPr>
          <w:rFonts w:cs="Arial Narrow" w:ascii="Arial Narrow" w:hAnsi="Arial Narrow"/>
          <w:i/>
          <w:iCs/>
          <w:sz w:val="18"/>
          <w:szCs w:val="18"/>
          <w:u w:val="single"/>
        </w:rPr>
        <w:t>,</w:t>
      </w:r>
      <w:r>
        <w:rPr>
          <w:rFonts w:cs="Arial Narrow" w:ascii="Arial Narrow" w:hAnsi="Arial Narrow"/>
          <w:sz w:val="18"/>
          <w:szCs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Seller</w:t>
      </w:r>
      <w:r>
        <w:rPr>
          <w:rFonts w:cs="Arial Narrow" w:ascii="Arial Narrow" w:hAnsi="Arial Narrow"/>
          <w:sz w:val="18"/>
          <w:szCs w:val="18"/>
        </w:rPr>
        <w:t>" means the Party to a Transaction who is obligated to sell Gas during a Period of Delivery.</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Spot Price</w:t>
      </w:r>
      <w:r>
        <w:rPr>
          <w:rFonts w:cs="Arial Narrow" w:ascii="Arial Narrow" w:hAnsi="Arial Narrow"/>
          <w:sz w:val="18"/>
          <w:szCs w:val="18"/>
        </w:rPr>
        <w:t xml:space="preserve">" </w:t>
      </w:r>
      <w:r>
        <w:rPr>
          <w:rFonts w:cs="Arial Narrow" w:ascii="Arial Narrow" w:hAnsi="Arial Narrow"/>
          <w:color w:val="000000"/>
          <w:sz w:val="18"/>
          <w:szCs w:val="18"/>
        </w:rPr>
        <w:t xml:space="preserve">means the “Daily Midpoint” price set forth in </w:t>
      </w:r>
      <w:r>
        <w:rPr>
          <w:rFonts w:cs="Arial Narrow" w:ascii="Arial Narrow" w:hAnsi="Arial Narrow"/>
          <w:color w:val="000000"/>
          <w:sz w:val="18"/>
          <w:szCs w:val="18"/>
          <w:u w:val="single"/>
        </w:rPr>
        <w:t>Gas Daily</w:t>
      </w:r>
      <w:r>
        <w:rPr>
          <w:rFonts w:cs="Arial Narrow" w:ascii="Arial Narrow" w:hAnsi="Arial Narrow"/>
          <w:color w:val="000000"/>
          <w:sz w:val="18"/>
          <w:szCs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szCs w:val="18"/>
        </w:rPr>
        <w:t xml:space="preserve"> </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Transaction</w:t>
      </w:r>
      <w:r>
        <w:rPr>
          <w:rFonts w:cs="Arial Narrow" w:ascii="Arial Narrow" w:hAnsi="Arial Narrow"/>
          <w:sz w:val="18"/>
          <w:szCs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Transaction Agreement</w:t>
      </w:r>
      <w:r>
        <w:rPr>
          <w:rFonts w:cs="Arial Narrow" w:ascii="Arial Narrow" w:hAnsi="Arial Narrow"/>
          <w:sz w:val="18"/>
          <w:szCs w:val="18"/>
        </w:rPr>
        <w:t xml:space="preserve">" means a written paper-based agreement executed by the Parties to form and effectuate a Transaction which may be substantially in the form set forth in </w:t>
      </w:r>
      <w:r>
        <w:rPr>
          <w:rFonts w:cs="Arial Narrow" w:ascii="Arial Narrow" w:hAnsi="Arial Narrow"/>
          <w:sz w:val="18"/>
          <w:szCs w:val="18"/>
          <w:u w:val="single"/>
        </w:rPr>
        <w:t>Exhibit "B-1."</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Transaction Tape</w:t>
      </w:r>
      <w:r>
        <w:rPr>
          <w:rFonts w:cs="Arial Narrow" w:ascii="Arial Narrow" w:hAnsi="Arial Narrow"/>
          <w:sz w:val="18"/>
          <w:szCs w:val="18"/>
        </w:rPr>
        <w:t xml:space="preserve">" means the tape recording of a recorded Transaction effectuated in accordance with </w:t>
      </w:r>
      <w:r>
        <w:rPr>
          <w:rFonts w:cs="Arial Narrow" w:ascii="Arial Narrow" w:hAnsi="Arial Narrow"/>
          <w:sz w:val="18"/>
          <w:szCs w:val="18"/>
          <w:u w:val="single"/>
        </w:rPr>
        <w:t>Article 2</w:t>
      </w:r>
      <w:r>
        <w:rPr>
          <w:rFonts w:cs="Arial Narrow" w:ascii="Arial Narrow" w:hAnsi="Arial Narrow"/>
          <w:sz w:val="18"/>
          <w:szCs w:val="18"/>
        </w:rPr>
        <w:t xml:space="preserve">. </w:t>
      </w:r>
    </w:p>
    <w:p>
      <w:pPr>
        <w:pStyle w:val="Normal"/>
        <w:ind w:start="360" w:end="0"/>
        <w:jc w:val="both"/>
        <w:rPr/>
      </w:pPr>
      <w:r>
        <w:rPr>
          <w:rFonts w:cs="Arial Narrow" w:ascii="Arial Narrow" w:hAnsi="Arial Narrow"/>
          <w:sz w:val="18"/>
          <w:szCs w:val="18"/>
        </w:rPr>
        <w:t>"</w:t>
      </w:r>
      <w:r>
        <w:rPr>
          <w:rFonts w:cs="Arial Narrow" w:ascii="Arial Narrow" w:hAnsi="Arial Narrow"/>
          <w:b/>
          <w:bCs/>
          <w:i/>
          <w:iCs/>
          <w:sz w:val="18"/>
          <w:szCs w:val="18"/>
          <w:u w:val="single"/>
        </w:rPr>
        <w:t>Transporter</w:t>
      </w:r>
      <w:r>
        <w:rPr>
          <w:rFonts w:cs="Arial Narrow" w:ascii="Arial Narrow" w:hAnsi="Arial Narrow"/>
          <w:sz w:val="18"/>
          <w:szCs w:val="18"/>
        </w:rPr>
        <w:t>" means either the Pipeline delivering or receiving Gas at a Delivery Point in a Transaction.</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 and Warranties</w:t>
      </w:r>
      <w:r>
        <w:rPr>
          <w:rFonts w:cs="Arial Narrow" w:ascii="Arial Narrow" w:hAnsi="Arial Narrow"/>
          <w:sz w:val="18"/>
          <w:szCs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 and Delivery</w:t>
      </w:r>
      <w:r>
        <w:rPr>
          <w:rFonts w:cs="Arial Narrow" w:ascii="Arial Narrow" w:hAnsi="Arial Narrow"/>
          <w:sz w:val="18"/>
          <w:szCs w:val="18"/>
        </w:rPr>
        <w:t xml:space="preserve">  </w:t>
      </w:r>
      <w:r>
        <w:rPr>
          <w:rFonts w:cs="Arial Narrow" w:ascii="Arial Narrow" w:hAnsi="Arial Narrow"/>
          <w:b/>
          <w:bCs/>
          <w:sz w:val="18"/>
          <w:szCs w:val="18"/>
          <w:u w:val="single"/>
        </w:rPr>
        <w:t>Scheduling Requests</w:t>
      </w:r>
      <w:r>
        <w:rPr>
          <w:rFonts w:cs="Arial Narrow" w:ascii="Arial Narrow" w:hAnsi="Arial Narrow"/>
          <w:sz w:val="18"/>
          <w:szCs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szCs w:val="18"/>
          <w:u w:val="single"/>
        </w:rPr>
        <w:t>Exhibit "A."</w:t>
      </w:r>
      <w:r>
        <w:rPr>
          <w:rFonts w:cs="Arial Narrow" w:ascii="Arial Narrow" w:hAnsi="Arial Narrow"/>
          <w:sz w:val="18"/>
          <w:szCs w:val="18"/>
        </w:rPr>
        <w:t xml:space="preserve">  </w:t>
      </w:r>
    </w:p>
    <w:p>
      <w:pPr>
        <w:pStyle w:val="Normal"/>
        <w:jc w:val="both"/>
        <w:rPr/>
      </w:pPr>
      <w:r>
        <w:rPr>
          <w:rFonts w:cs="Arial Narrow" w:ascii="Arial Narrow" w:hAnsi="Arial Narrow"/>
          <w:b/>
          <w:bCs/>
          <w:sz w:val="18"/>
          <w:szCs w:val="18"/>
          <w:u w:val="single"/>
        </w:rPr>
        <w:t>Transportation</w:t>
      </w:r>
      <w:r>
        <w:rPr>
          <w:rFonts w:cs="Arial Narrow" w:ascii="Arial Narrow" w:hAnsi="Arial Narrow"/>
          <w:sz w:val="18"/>
          <w:szCs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bCs/>
          <w:sz w:val="18"/>
          <w:szCs w:val="18"/>
          <w:u w:val="single"/>
        </w:rPr>
        <w:t>Gas Specifications</w:t>
      </w:r>
      <w:r>
        <w:rPr>
          <w:rFonts w:cs="Arial Narrow" w:ascii="Arial Narrow" w:hAnsi="Arial Narrow"/>
          <w:sz w:val="18"/>
          <w:szCs w:val="18"/>
        </w:rPr>
        <w:t>.  Seller represents that all Gas delivered hereunder shall meet or exceed the specifications of Buyer's Transporter.</w:t>
      </w:r>
    </w:p>
    <w:p>
      <w:pPr>
        <w:pStyle w:val="Normal"/>
        <w:jc w:val="both"/>
        <w:rPr/>
      </w:pPr>
      <w:r>
        <w:rPr>
          <w:rFonts w:cs="Arial Narrow" w:ascii="Arial Narrow" w:hAnsi="Arial Narrow"/>
          <w:b/>
          <w:bCs/>
          <w:sz w:val="18"/>
          <w:szCs w:val="18"/>
          <w:u w:val="single"/>
        </w:rPr>
        <w:t>Multiple Delivery Point Utilization</w:t>
      </w:r>
      <w:r>
        <w:rPr>
          <w:rFonts w:cs="Arial Narrow" w:ascii="Arial Narrow" w:hAnsi="Arial Narrow"/>
          <w:sz w:val="18"/>
          <w:szCs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bCs/>
          <w:sz w:val="18"/>
          <w:szCs w:val="18"/>
          <w:u w:val="single"/>
        </w:rPr>
        <w:t>Operational Flow Orders</w:t>
      </w:r>
      <w:r>
        <w:rPr>
          <w:rFonts w:cs="Arial Narrow" w:ascii="Arial Narrow" w:hAnsi="Arial Narrow"/>
          <w:sz w:val="18"/>
          <w:szCs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szCs w:val="18"/>
          <w:u w:val="single"/>
        </w:rPr>
        <w:t>OFO</w:t>
      </w:r>
      <w:r>
        <w:rPr>
          <w:rFonts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sz w:val="18"/>
          <w:szCs w:val="18"/>
        </w:rPr>
        <w:t xml:space="preserve">  </w:t>
      </w:r>
      <w:r>
        <w:rPr>
          <w:rFonts w:cs="Arial Narrow" w:ascii="Arial Narrow" w:hAnsi="Arial Narrow"/>
          <w:b/>
          <w:bCs/>
          <w:sz w:val="18"/>
          <w:szCs w:val="18"/>
          <w:u w:val="single"/>
        </w:rPr>
        <w:t>Billing, Invoice Date, Charges and Payment</w:t>
      </w:r>
      <w:r>
        <w:rPr>
          <w:rFonts w:cs="Arial Narrow" w:ascii="Arial Narrow" w:hAnsi="Arial Narrow"/>
          <w:sz w:val="18"/>
          <w:szCs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szCs w:val="18"/>
          <w:u w:val="single"/>
        </w:rPr>
        <w:t>Article 3</w:t>
      </w:r>
      <w:r>
        <w:rPr>
          <w:rFonts w:cs="Arial Narrow" w:ascii="Arial Narrow" w:hAnsi="Arial Narrow"/>
          <w:sz w:val="18"/>
          <w:szCs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szCs w:val="18"/>
          <w:u w:val="single"/>
        </w:rPr>
        <w:t>Article 7</w:t>
      </w:r>
      <w:r>
        <w:rPr>
          <w:rFonts w:cs="Arial Narrow" w:ascii="Arial Narrow" w:hAnsi="Arial Narrow"/>
          <w:sz w:val="18"/>
          <w:szCs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szCs w:val="18"/>
          <w:u w:val="single"/>
        </w:rPr>
        <w:t>Exhibit "A"</w:t>
      </w:r>
      <w:r>
        <w:rPr>
          <w:rFonts w:cs="Arial Narrow" w:ascii="Arial Narrow" w:hAnsi="Arial Narrow"/>
          <w:sz w:val="18"/>
          <w:szCs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szCs w:val="18"/>
          <w:u w:val="single"/>
        </w:rPr>
        <w:t>Exhibit "A."</w:t>
      </w:r>
      <w:r>
        <w:rPr>
          <w:rFonts w:cs="Arial Narrow" w:ascii="Arial Narrow" w:hAnsi="Arial Narrow"/>
          <w:sz w:val="18"/>
          <w:szCs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szCs w:val="18"/>
          <w:u w:val="single"/>
        </w:rPr>
        <w:t>Exhibit "A."</w:t>
      </w:r>
    </w:p>
    <w:p>
      <w:pPr>
        <w:pStyle w:val="Normal"/>
        <w:jc w:val="both"/>
        <w:rPr/>
      </w:pPr>
      <w:r>
        <w:rPr>
          <w:rFonts w:cs="Arial Narrow" w:ascii="Arial Narrow" w:hAnsi="Arial Narrow"/>
          <w:b/>
          <w:bCs/>
          <w:sz w:val="18"/>
          <w:szCs w:val="18"/>
          <w:u w:val="single"/>
        </w:rPr>
        <w:t>Suspension of Performance</w:t>
      </w:r>
      <w:r>
        <w:rPr>
          <w:rFonts w:cs="Arial Narrow" w:ascii="Arial Narrow" w:hAnsi="Arial Narrow"/>
          <w:sz w:val="18"/>
          <w:szCs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bCs/>
          <w:sz w:val="18"/>
          <w:szCs w:val="18"/>
          <w:u w:val="single"/>
        </w:rPr>
        <w:t>Audit Rights</w:t>
      </w:r>
      <w:r>
        <w:rPr>
          <w:rFonts w:cs="Arial Narrow" w:ascii="Arial Narrow" w:hAnsi="Arial Narrow"/>
          <w:sz w:val="18"/>
          <w:szCs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szCs w:val="18"/>
          <w:u w:val="single"/>
        </w:rPr>
        <w:t>Section 8.6</w:t>
      </w:r>
      <w:r>
        <w:rPr>
          <w:rFonts w:cs="Arial Narrow" w:ascii="Arial Narrow" w:hAnsi="Arial Narrow"/>
          <w:sz w:val="18"/>
          <w:szCs w:val="18"/>
        </w:rPr>
        <w:t xml:space="preserve"> for a like period to facilitate the audit rights of the Parties.</w:t>
      </w:r>
    </w:p>
    <w:p>
      <w:pPr>
        <w:pStyle w:val="Normal"/>
        <w:jc w:val="both"/>
        <w:rPr/>
      </w:pPr>
      <w:r>
        <w:rPr>
          <w:rFonts w:cs="Arial Narrow" w:ascii="Arial Narrow" w:hAnsi="Arial Narrow"/>
          <w:b/>
          <w:bCs/>
          <w:sz w:val="18"/>
          <w:szCs w:val="18"/>
          <w:u w:val="single"/>
        </w:rPr>
        <w:t>Financial Information</w:t>
      </w:r>
      <w:r>
        <w:rPr>
          <w:rFonts w:cs="Arial Narrow" w:ascii="Arial Narrow" w:hAnsi="Arial Narrow"/>
          <w:sz w:val="18"/>
          <w:szCs w:val="18"/>
        </w:rPr>
        <w:t>.  If requested by Customer, Company shall deliver  within 120 Days following the end of each fiscal year, a copy of the annual report of Enron Corp. containing consolidated financial statements for such fiscal year certified by independent certified public accountants. If requested by Company, Customer shall deliver within 120 Days following the end of each fiscal year, a copy of its annual report containing consolidated financial statements for such fiscal year certified by independent certified public accountants.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Warranty of Title to Gas</w:t>
      </w:r>
      <w:r>
        <w:rPr>
          <w:rFonts w:cs="Arial Narrow" w:ascii="Arial Narrow" w:hAnsi="Arial Narrow"/>
          <w:sz w:val="18"/>
          <w:szCs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Alternate Price Redetermination</w:t>
      </w:r>
      <w:r>
        <w:rPr>
          <w:rFonts w:cs="Arial Narrow" w:ascii="Arial Narrow" w:hAnsi="Arial Narrow"/>
          <w:sz w:val="18"/>
          <w:szCs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szCs w:val="18"/>
          <w:u w:val="single"/>
        </w:rPr>
        <w:t>Alternate Price</w:t>
      </w:r>
      <w:r>
        <w:rPr>
          <w:rFonts w:cs="Arial Narrow" w:ascii="Arial Narrow" w:hAnsi="Arial Narrow"/>
          <w:sz w:val="18"/>
          <w:szCs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szCs w:val="18"/>
          <w:u w:val="single"/>
        </w:rPr>
        <w:t>Renegotiation Date</w:t>
      </w:r>
      <w:r>
        <w:rPr>
          <w:rFonts w:cs="Arial Narrow" w:ascii="Arial Narrow" w:hAnsi="Arial Narrow"/>
          <w:sz w:val="18"/>
          <w:szCs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Effect of Waiver or Consent</w:t>
      </w:r>
      <w:r>
        <w:rPr>
          <w:rFonts w:cs="Arial Narrow" w:ascii="Arial Narrow" w:hAnsi="Arial Narrow"/>
          <w:sz w:val="18"/>
          <w:szCs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Arbitration</w:t>
      </w:r>
      <w:r>
        <w:rPr>
          <w:rFonts w:cs="Arial Narrow" w:ascii="Arial Narrow" w:hAnsi="Arial Narrow"/>
          <w:sz w:val="18"/>
          <w:szCs w:val="18"/>
        </w:rPr>
        <w:t xml:space="preserve"> </w:t>
      </w:r>
      <w:r>
        <w:rPr>
          <w:rFonts w:cs="Arial Narrow" w:ascii="Arial Narrow" w:hAnsi="Arial Narrow"/>
          <w:b/>
          <w:bCs/>
          <w:sz w:val="18"/>
          <w:szCs w:val="18"/>
          <w:u w:val="single"/>
        </w:rPr>
        <w:t>Disputes to be Arbitrated</w:t>
      </w:r>
      <w:r>
        <w:rPr>
          <w:rFonts w:cs="Arial Narrow" w:ascii="Arial Narrow" w:hAnsi="Arial Narrow"/>
          <w:sz w:val="18"/>
          <w:szCs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szCs w:val="18"/>
          <w:u w:val="single"/>
        </w:rPr>
        <w:t>Disputes</w:t>
      </w:r>
      <w:r>
        <w:rPr>
          <w:rFonts w:cs="Arial Narrow" w:ascii="Arial Narrow" w:hAnsi="Arial Narrow"/>
          <w:sz w:val="18"/>
          <w:szCs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New York, New York, or other location mutually agreed upon by the Parties. Within 30 Days of the notice initiating the arbitration procedure, each Party shall designate one arbitrator, who shall  be impartial.  If a Party fails to designate an arbitrator, the other Party may have an arbitrator appointed by applying to the United States District Court for the Eastern District of New York.  The two arbitrators shall select a third arbitrator.  If the two arbitrators chosen by the Parties fail to agree upon the third arbitrator, both or either of the Parties may apply to the  United States District Court for the Eastern District of New York  for the appointment of a third arbitrator.  The third arbitrator shall take an oath of neutrality.  </w:t>
      </w:r>
    </w:p>
    <w:p>
      <w:pPr>
        <w:pStyle w:val="Normal"/>
        <w:jc w:val="both"/>
        <w:rPr/>
      </w:pPr>
      <w:r>
        <w:rPr>
          <w:rFonts w:cs="Arial Narrow" w:ascii="Arial Narrow" w:hAnsi="Arial Narrow"/>
          <w:b/>
          <w:bCs/>
          <w:sz w:val="18"/>
          <w:szCs w:val="18"/>
          <w:u w:val="single"/>
        </w:rPr>
        <w:t>Arbitration Procedures</w:t>
      </w:r>
      <w:r>
        <w:rPr>
          <w:rFonts w:cs="Arial Narrow" w:ascii="Arial Narrow" w:hAnsi="Arial Narrow"/>
          <w:sz w:val="18"/>
          <w:szCs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bCs/>
          <w:sz w:val="18"/>
          <w:szCs w:val="18"/>
          <w:u w:val="single"/>
        </w:rPr>
        <w:t>Arbitration Award</w:t>
      </w:r>
      <w:r>
        <w:rPr>
          <w:rFonts w:cs="Arial Narrow" w:ascii="Arial Narrow" w:hAnsi="Arial Narrow"/>
          <w:sz w:val="18"/>
          <w:szCs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Authority for Transactions</w:t>
      </w:r>
      <w:r>
        <w:rPr>
          <w:rFonts w:cs="Arial Narrow" w:ascii="Arial Narrow" w:hAnsi="Arial Narrow"/>
          <w:sz w:val="18"/>
          <w:szCs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bCs/>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Flexible Pricing</w:t>
      </w:r>
      <w:r>
        <w:rPr>
          <w:rFonts w:cs="Arial Narrow" w:ascii="Arial Narrow" w:hAnsi="Arial Narrow"/>
          <w:sz w:val="18"/>
          <w:szCs w:val="18"/>
        </w:rPr>
        <w:t xml:space="preserve"> During the Period of Delivery for a Transaction expressly providing for "</w:t>
      </w:r>
      <w:r>
        <w:rPr>
          <w:rFonts w:cs="Arial Narrow" w:ascii="Arial Narrow" w:hAnsi="Arial Narrow"/>
          <w:sz w:val="18"/>
          <w:szCs w:val="18"/>
          <w:u w:val="single"/>
        </w:rPr>
        <w:t>Flexible Pricing</w:t>
      </w:r>
      <w:r>
        <w:rPr>
          <w:rFonts w:cs="Arial Narrow" w:ascii="Arial Narrow" w:hAnsi="Arial Narrow"/>
          <w:sz w:val="18"/>
          <w:szCs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szCs w:val="18"/>
          <w:u w:val="single"/>
        </w:rPr>
        <w:t>Article 2</w:t>
      </w:r>
      <w:r>
        <w:rPr>
          <w:rFonts w:cs="Arial Narrow" w:ascii="Arial Narrow" w:hAnsi="Arial Narrow"/>
          <w:sz w:val="18"/>
          <w:szCs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szCs w:val="18"/>
          <w:u w:val="single"/>
        </w:rPr>
        <w:t>Section 2.4</w:t>
      </w:r>
      <w:r>
        <w:rPr>
          <w:rFonts w:cs="Arial Narrow" w:ascii="Arial Narrow" w:hAnsi="Arial Narrow"/>
          <w:sz w:val="18"/>
          <w:szCs w:val="18"/>
        </w:rPr>
        <w:t>.  "</w:t>
      </w:r>
      <w:r>
        <w:rPr>
          <w:rFonts w:cs="Arial Narrow" w:ascii="Arial Narrow" w:hAnsi="Arial Narrow"/>
          <w:sz w:val="18"/>
          <w:szCs w:val="18"/>
          <w:u w:val="single"/>
        </w:rPr>
        <w:t>Fixed Price</w:t>
      </w:r>
      <w:r>
        <w:rPr>
          <w:rFonts w:cs="Arial Narrow" w:ascii="Arial Narrow" w:hAnsi="Arial Narrow"/>
          <w:sz w:val="18"/>
          <w:szCs w:val="18"/>
        </w:rPr>
        <w:t>" means a fixed dollar amount agreed to by the Parties.  "</w:t>
      </w:r>
      <w:r>
        <w:rPr>
          <w:rFonts w:cs="Arial Narrow" w:ascii="Arial Narrow" w:hAnsi="Arial Narrow"/>
          <w:sz w:val="18"/>
          <w:szCs w:val="18"/>
          <w:u w:val="single"/>
        </w:rPr>
        <w:t>Fixed Basis Price</w:t>
      </w:r>
      <w:r>
        <w:rPr>
          <w:rFonts w:cs="Arial Narrow" w:ascii="Arial Narrow" w:hAnsi="Arial Narrow"/>
          <w:sz w:val="18"/>
          <w:szCs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szCs w:val="18"/>
          <w:u w:val="single"/>
        </w:rPr>
        <w:t>Average Settlement Price</w:t>
      </w:r>
      <w:r>
        <w:rPr>
          <w:rFonts w:cs="Arial Narrow" w:ascii="Arial Narrow" w:hAnsi="Arial Narrow"/>
          <w:sz w:val="18"/>
          <w:szCs w:val="18"/>
        </w:rPr>
        <w:t xml:space="preserve">") </w:t>
      </w:r>
      <w:r>
        <w:rPr>
          <w:rFonts w:cs="Arial Narrow" w:ascii="Arial Narrow" w:hAnsi="Arial Narrow"/>
          <w:sz w:val="18"/>
          <w:szCs w:val="18"/>
          <w:u w:val="single"/>
        </w:rPr>
        <w:t>plus</w:t>
      </w:r>
      <w:r>
        <w:rPr>
          <w:rFonts w:cs="Arial Narrow" w:ascii="Arial Narrow" w:hAnsi="Arial Narrow"/>
          <w:sz w:val="18"/>
          <w:szCs w:val="18"/>
        </w:rPr>
        <w:t xml:space="preserve"> a fixed dollar amount basis adjustment agreed to by the Parties.  "</w:t>
      </w:r>
      <w:r>
        <w:rPr>
          <w:rFonts w:cs="Arial Narrow" w:ascii="Arial Narrow" w:hAnsi="Arial Narrow"/>
          <w:sz w:val="18"/>
          <w:szCs w:val="18"/>
          <w:u w:val="single"/>
        </w:rPr>
        <w:t>Floating Basis Price</w:t>
      </w:r>
      <w:r>
        <w:rPr>
          <w:rFonts w:cs="Arial Narrow" w:ascii="Arial Narrow" w:hAnsi="Arial Narrow"/>
          <w:sz w:val="18"/>
          <w:szCs w:val="18"/>
        </w:rPr>
        <w:t xml:space="preserve">" means a price equal to the sum of a fixed dollar amount agreed to by the Parties </w:t>
      </w:r>
      <w:r>
        <w:rPr>
          <w:rFonts w:cs="Arial Narrow" w:ascii="Arial Narrow" w:hAnsi="Arial Narrow"/>
          <w:sz w:val="18"/>
          <w:szCs w:val="18"/>
          <w:u w:val="single"/>
        </w:rPr>
        <w:t>plus</w:t>
      </w:r>
      <w:r>
        <w:rPr>
          <w:rFonts w:cs="Arial Narrow" w:ascii="Arial Narrow" w:hAnsi="Arial Narrow"/>
          <w:sz w:val="18"/>
          <w:szCs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w:t>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COMPANY:</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P.O. Box 4428</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 xml:space="preserve">Attn:  Documentation and Deal Clearing Desk </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Facsimile No.  (713) 646-4816</w:t>
      </w:r>
    </w:p>
    <w:p>
      <w:pPr>
        <w:pStyle w:val="Normal"/>
        <w:tabs>
          <w:tab w:val="clear" w:pos="720"/>
          <w:tab w:val="center" w:pos="5760" w:leader="none"/>
        </w:tabs>
        <w:jc w:val="both"/>
        <w:rPr>
          <w:rFonts w:ascii="Arial Narrow" w:hAnsi="Arial Narrow" w:cs="Arial Narrow"/>
          <w:b/>
          <w:bCs/>
          <w:sz w:val="18"/>
          <w:szCs w:val="18"/>
        </w:rPr>
      </w:pPr>
      <w:r>
        <w:rPr>
          <w:rFonts w:cs="Arial Narrow" w:ascii="Arial Narrow" w:hAnsi="Arial Narrow"/>
          <w:sz w:val="18"/>
          <w:szCs w:val="18"/>
        </w:rPr>
        <w:t>Termination Notice Facsimile No.  (713) 646-4818</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P.O. Box 4428</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Attn:  Client Services</w:t>
      </w:r>
    </w:p>
    <w:p>
      <w:pPr>
        <w:pStyle w:val="Normal"/>
        <w:tabs>
          <w:tab w:val="clear" w:pos="720"/>
          <w:tab w:val="center" w:pos="5760" w:leader="none"/>
        </w:tabs>
        <w:jc w:val="both"/>
        <w:rPr>
          <w:rFonts w:ascii="Arial Narrow" w:hAnsi="Arial Narrow" w:cs="Arial Narrow"/>
          <w:b/>
          <w:bCs/>
          <w:sz w:val="18"/>
          <w:szCs w:val="18"/>
        </w:rPr>
      </w:pPr>
      <w:r>
        <w:rPr>
          <w:rFonts w:cs="Arial Narrow" w:ascii="Arial Narrow" w:hAnsi="Arial Narrow"/>
          <w:sz w:val="18"/>
          <w:szCs w:val="18"/>
        </w:rPr>
        <w:t>Facsimile No.  (713) 646-8420</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tabs>
          <w:tab w:val="clear" w:pos="720"/>
          <w:tab w:val="center" w:pos="5760" w:leader="none"/>
        </w:tabs>
        <w:jc w:val="both"/>
        <w:rPr/>
      </w:pPr>
      <w:r>
        <w:rPr>
          <w:rFonts w:cs="Arial Narrow" w:ascii="Arial Narrow" w:hAnsi="Arial Narrow"/>
          <w:b/>
          <w:bCs/>
          <w:sz w:val="18"/>
          <w:szCs w:val="18"/>
        </w:rPr>
        <w:t>Payments:</w:t>
      </w:r>
      <w:r>
        <w:rPr>
          <w:rFonts w:cs="Arial Narrow" w:ascii="Arial Narrow" w:hAnsi="Arial Narrow"/>
          <w:sz w:val="18"/>
          <w:szCs w:val="18"/>
        </w:rPr>
        <w:t xml:space="preserve"> </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ABA Routing 111000012 Bank of America</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Dallas, Texas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Account 3750494099</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 356-9427/1(800) FLOWGAS</w:t>
      </w:r>
    </w:p>
    <w:p>
      <w:pPr>
        <w:pStyle w:val="Norma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Enron North America Gas Trading 1(713) 646-2531</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TO CUSTOMER:</w:t>
      </w:r>
    </w:p>
    <w:p>
      <w:pPr>
        <w:pStyle w:val="Norma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sz w:val="18"/>
          <w:szCs w:val="18"/>
        </w:rPr>
      </w:pPr>
      <w:r>
        <w:rPr>
          <w:rFonts w:cs="Arial Narrow" w:ascii="Arial Narrow" w:hAnsi="Arial Narrow"/>
          <w:sz w:val="18"/>
          <w:szCs w:val="18"/>
        </w:rPr>
        <w:t>Cargill, Inc.</w:t>
      </w:r>
    </w:p>
    <w:p>
      <w:pPr>
        <w:pStyle w:val="Normal"/>
        <w:jc w:val="both"/>
        <w:rPr>
          <w:rFonts w:ascii="Arial Narrow" w:hAnsi="Arial Narrow" w:cs="Arial Narrow"/>
          <w:sz w:val="18"/>
          <w:szCs w:val="18"/>
        </w:rPr>
      </w:pPr>
      <w:r>
        <w:rPr>
          <w:rFonts w:cs="Arial Narrow" w:ascii="Arial Narrow" w:hAnsi="Arial Narrow"/>
          <w:sz w:val="18"/>
          <w:szCs w:val="18"/>
        </w:rPr>
        <w:t>12700 Whitewater Drive</w:t>
      </w:r>
    </w:p>
    <w:p>
      <w:pPr>
        <w:pStyle w:val="Normal"/>
        <w:jc w:val="both"/>
        <w:rPr>
          <w:rFonts w:ascii="Arial Narrow" w:hAnsi="Arial Narrow" w:cs="Arial Narrow"/>
          <w:sz w:val="18"/>
          <w:szCs w:val="18"/>
        </w:rPr>
      </w:pPr>
      <w:r>
        <w:rPr>
          <w:rFonts w:cs="Arial Narrow" w:ascii="Arial Narrow" w:hAnsi="Arial Narrow"/>
          <w:sz w:val="18"/>
          <w:szCs w:val="18"/>
        </w:rPr>
        <w:t>Minnetonka, Minnesota 55343-9497</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t>Invoices:</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sz w:val="18"/>
          <w:szCs w:val="18"/>
        </w:rPr>
      </w:pPr>
      <w:r>
        <w:rPr>
          <w:sz w:val="18"/>
        </w:rPr>
        <w:t>Kathy Gerken  Phone: 952-984-3220  Fax: 952-984-3341</w:t>
      </w:r>
    </w:p>
    <w:p>
      <w:pPr>
        <w:pStyle w:val="Normal"/>
        <w:jc w:val="both"/>
        <w:rPr>
          <w:rFonts w:ascii="Arial Narrow" w:hAnsi="Arial Narrow" w:cs="Arial Narrow"/>
          <w:sz w:val="18"/>
          <w:szCs w:val="18"/>
        </w:rPr>
      </w:pPr>
      <w:r>
        <w:rPr>
          <w:rFonts w:cs="Arial Narrow" w:ascii="Arial Narrow" w:hAnsi="Arial Narrow"/>
          <w:sz w:val="18"/>
          <w:szCs w:val="18"/>
        </w:rPr>
        <w:t>Cargill, Inc.</w:t>
      </w:r>
    </w:p>
    <w:p>
      <w:pPr>
        <w:pStyle w:val="Normal"/>
        <w:jc w:val="both"/>
        <w:rPr>
          <w:rFonts w:ascii="Arial Narrow" w:hAnsi="Arial Narrow" w:cs="Arial Narrow"/>
          <w:sz w:val="18"/>
          <w:szCs w:val="18"/>
        </w:rPr>
      </w:pPr>
      <w:r>
        <w:rPr>
          <w:rFonts w:cs="Arial Narrow" w:ascii="Arial Narrow" w:hAnsi="Arial Narrow"/>
          <w:sz w:val="18"/>
          <w:szCs w:val="18"/>
        </w:rPr>
        <w:t>12700 Whitewater Drive</w:t>
      </w:r>
    </w:p>
    <w:p>
      <w:pPr>
        <w:pStyle w:val="Normal"/>
        <w:jc w:val="both"/>
        <w:rPr>
          <w:rFonts w:ascii="Arial Narrow" w:hAnsi="Arial Narrow" w:cs="Arial Narrow"/>
          <w:sz w:val="18"/>
          <w:szCs w:val="18"/>
        </w:rPr>
      </w:pPr>
      <w:r>
        <w:rPr>
          <w:rFonts w:cs="Arial Narrow" w:ascii="Arial Narrow" w:hAnsi="Arial Narrow"/>
          <w:sz w:val="18"/>
          <w:szCs w:val="18"/>
        </w:rPr>
        <w:t>Minnetonka, Minnesota 55343-9497</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b/>
          <w:bCs/>
          <w:sz w:val="18"/>
          <w:szCs w:val="18"/>
        </w:rPr>
        <w:t xml:space="preserve">Payments:  </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sz w:val="18"/>
        </w:rPr>
        <w:t>Kathy Gerken  Phone: 952-984-3220  Fax: 952-984-3341</w:t>
      </w:r>
    </w:p>
    <w:p>
      <w:pPr>
        <w:pStyle w:val="Normal"/>
        <w:jc w:val="both"/>
        <w:rPr>
          <w:rFonts w:ascii="Arial Narrow" w:hAnsi="Arial Narrow" w:cs="Arial Narrow"/>
          <w:sz w:val="18"/>
          <w:szCs w:val="18"/>
        </w:rPr>
      </w:pPr>
      <w:r>
        <w:rPr>
          <w:rFonts w:cs="Arial Narrow" w:ascii="Arial Narrow" w:hAnsi="Arial Narrow"/>
          <w:sz w:val="18"/>
          <w:szCs w:val="18"/>
        </w:rPr>
        <w:t>Wire Transfer: Chase Manhattan Bank New York, NY</w:t>
      </w:r>
    </w:p>
    <w:p>
      <w:pPr>
        <w:pStyle w:val="Normal"/>
        <w:jc w:val="both"/>
        <w:rPr>
          <w:rFonts w:ascii="Arial Narrow" w:hAnsi="Arial Narrow" w:cs="Arial Narrow"/>
          <w:sz w:val="18"/>
          <w:szCs w:val="18"/>
        </w:rPr>
      </w:pPr>
      <w:r>
        <w:rPr>
          <w:rFonts w:cs="Arial Narrow" w:ascii="Arial Narrow" w:hAnsi="Arial Narrow"/>
          <w:sz w:val="18"/>
          <w:szCs w:val="18"/>
        </w:rPr>
        <w:t>ABA# 21000021</w:t>
      </w:r>
    </w:p>
    <w:p>
      <w:pPr>
        <w:pStyle w:val="Normal"/>
        <w:jc w:val="both"/>
        <w:rPr>
          <w:rFonts w:ascii="Arial Narrow" w:hAnsi="Arial Narrow" w:cs="Arial Narrow"/>
          <w:sz w:val="18"/>
          <w:szCs w:val="18"/>
        </w:rPr>
      </w:pPr>
      <w:r>
        <w:rPr>
          <w:rFonts w:cs="Arial Narrow" w:ascii="Arial Narrow" w:hAnsi="Arial Narrow"/>
          <w:sz w:val="18"/>
          <w:szCs w:val="18"/>
        </w:rPr>
        <w:t>Acct# 9102714038</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Nominations:  </w:t>
      </w:r>
      <w:r>
        <w:rPr>
          <w:rFonts w:cs="Arial Narrow" w:ascii="Arial Narrow" w:hAnsi="Arial Narrow"/>
          <w:sz w:val="18"/>
          <w:szCs w:val="18"/>
        </w:rPr>
        <w:t>Phone: 952-984-3664     Fax: 952-984-3817</w:t>
      </w:r>
    </w:p>
    <w:p>
      <w:pPr>
        <w:pStyle w:val="Normal"/>
        <w:jc w:val="both"/>
        <w:rPr/>
      </w:pPr>
      <w:r>
        <w:rPr>
          <w:rFonts w:cs="Arial Narrow" w:ascii="Arial Narrow" w:hAnsi="Arial Narrow"/>
          <w:b/>
          <w:bCs/>
          <w:sz w:val="18"/>
          <w:szCs w:val="18"/>
        </w:rPr>
        <w:t xml:space="preserve">Confirmations: </w:t>
      </w:r>
      <w:r>
        <w:rPr>
          <w:rFonts w:cs="Arial Narrow" w:ascii="Arial Narrow" w:hAnsi="Arial Narrow"/>
          <w:sz w:val="18"/>
          <w:szCs w:val="18"/>
        </w:rPr>
        <w:t>Phone: 952-984-3664     Fax: 952-984-3817</w:t>
      </w:r>
    </w:p>
    <w:p>
      <w:pPr>
        <w:pStyle w:val="Normal"/>
        <w:rPr>
          <w:rFonts w:ascii="Arial Narrow" w:hAnsi="Arial Narrow" w:cs="Arial Narrow"/>
          <w:sz w:val="18"/>
          <w:szCs w:val="18"/>
        </w:rPr>
      </w:pPr>
      <w:r>
        <w:rPr>
          <w:rFonts w:cs="Arial Narrow" w:ascii="Arial Narrow" w:hAnsi="Arial Narrow"/>
          <w:sz w:val="18"/>
          <w:szCs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tabs>
          <w:tab w:val="clear" w:pos="720"/>
          <w:tab w:val="left" w:pos="9450" w:leader="none"/>
        </w:tabs>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rPr>
          <w:rFonts w:ascii="Arial Narrow" w:hAnsi="Arial Narrow" w:cs="Arial Narrow"/>
          <w:sz w:val="18"/>
          <w:szCs w:val="18"/>
        </w:rPr>
      </w:pPr>
      <w:r>
        <w:rPr>
          <w:rFonts w:cs="Arial Narrow" w:ascii="Arial Narrow" w:hAnsi="Arial Narrow"/>
          <w:sz w:val="18"/>
          <w:szCs w:val="18"/>
        </w:rPr>
      </w:r>
    </w:p>
    <w:p>
      <w:pPr>
        <w:pStyle w:val="Normal"/>
        <w:jc w:val="center"/>
        <w:rPr/>
      </w:pPr>
      <w:r>
        <w:rPr>
          <w:rFonts w:cs="Arial Narrow" w:ascii="Arial Narrow" w:hAnsi="Arial Narrow"/>
          <w:sz w:val="18"/>
          <w:szCs w:val="18"/>
        </w:rPr>
        <w:t xml:space="preserve">EXAMPLE OF CONFIRMATION ON COMPANY LETTERHEAD (INCLUDING NAME AND ADDRESS) TO CONFIRM TELEPHONIC TRANSACTIONS UNDER </w:t>
      </w:r>
      <w:r>
        <w:rPr>
          <w:rFonts w:cs="Arial Narrow" w:ascii="Arial Narrow" w:hAnsi="Arial Narrow"/>
          <w:sz w:val="18"/>
          <w:szCs w:val="18"/>
          <w:u w:val="single"/>
        </w:rPr>
        <w:t>SECTION 2.4</w:t>
      </w:r>
    </w:p>
    <w:p>
      <w:pPr>
        <w:pStyle w:val="Normal"/>
        <w:rPr>
          <w:rFonts w:ascii="Arial Narrow" w:hAnsi="Arial Narrow" w:cs="Arial Narrow"/>
          <w:sz w:val="18"/>
          <w:szCs w:val="18"/>
          <w:u w:val="single"/>
        </w:rPr>
      </w:pPr>
      <w:r>
        <w:rPr>
          <w:rFonts w:cs="Arial Narrow" w:ascii="Arial Narrow" w:hAnsi="Arial Narrow"/>
          <w:sz w:val="18"/>
          <w:szCs w:val="18"/>
          <w:u w:val="single"/>
        </w:rPr>
      </w:r>
    </w:p>
    <w:p>
      <w:pPr>
        <w:pStyle w:val="Normal"/>
        <w:jc w:val="both"/>
        <w:rPr/>
      </w:pPr>
      <w:r>
        <w:rPr>
          <w:rFonts w:cs="Arial Narrow" w:ascii="Arial Narrow" w:hAnsi="Arial Narrow"/>
          <w:sz w:val="18"/>
          <w:szCs w:val="18"/>
        </w:rPr>
        <w:t>This Confirmation shall confirm the Transaction agreed to on ___________, _______ and binding between _____________________ ("</w:t>
      </w:r>
      <w:r>
        <w:rPr>
          <w:rFonts w:cs="Arial Narrow" w:ascii="Arial Narrow" w:hAnsi="Arial Narrow"/>
          <w:sz w:val="18"/>
          <w:szCs w:val="18"/>
          <w:u w:val="single"/>
        </w:rPr>
        <w:t>Customer</w:t>
      </w:r>
      <w:r>
        <w:rPr>
          <w:rFonts w:cs="Arial Narrow" w:ascii="Arial Narrow" w:hAnsi="Arial Narrow"/>
          <w:sz w:val="18"/>
          <w:szCs w:val="18"/>
        </w:rPr>
        <w:t>") and ______________________ ("</w:t>
      </w:r>
      <w:r>
        <w:rPr>
          <w:rFonts w:cs="Arial Narrow" w:ascii="Arial Narrow" w:hAnsi="Arial Narrow"/>
          <w:sz w:val="18"/>
          <w:szCs w:val="18"/>
          <w:u w:val="single"/>
        </w:rPr>
        <w:t>Company</w:t>
      </w:r>
      <w:r>
        <w:rPr>
          <w:rFonts w:cs="Arial Narrow" w:ascii="Arial Narrow" w:hAnsi="Arial Narrow"/>
          <w:sz w:val="18"/>
          <w:szCs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SPOT PRICE LOCATION:</w:t>
        <w:tab/>
        <w:t>____________________________</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sz w:val="18"/>
          <w:szCs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szCs w:val="18"/>
          <w:u w:val="single"/>
        </w:rPr>
        <w:t>Adjustment</w:t>
      </w:r>
      <w:r>
        <w:rPr>
          <w:rFonts w:cs="Arial Narrow" w:ascii="Arial Narrow" w:hAnsi="Arial Narrow"/>
          <w:sz w:val="18"/>
          <w:szCs w:val="18"/>
        </w:rPr>
        <w:t>").  The "</w:t>
      </w:r>
      <w:r>
        <w:rPr>
          <w:rFonts w:cs="Arial Narrow" w:ascii="Arial Narrow" w:hAnsi="Arial Narrow"/>
          <w:sz w:val="18"/>
          <w:szCs w:val="18"/>
          <w:u w:val="single"/>
        </w:rPr>
        <w:t>EFP Posted Price</w:t>
      </w:r>
      <w:r>
        <w:rPr>
          <w:rFonts w:cs="Arial Narrow" w:ascii="Arial Narrow" w:hAnsi="Arial Narrow"/>
          <w:sz w:val="18"/>
          <w:szCs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szCs w:val="18"/>
        </w:rPr>
        <w:sym w:font="Symbol" w:char="f0de"/>
      </w:r>
      <w:r>
        <w:rPr>
          <w:rFonts w:eastAsia="Arial Narrow" w:cs="Arial Narrow" w:ascii="Arial Narrow" w:hAnsi="Arial Narrow"/>
          <w:sz w:val="18"/>
          <w:szCs w:val="18"/>
        </w:rPr>
        <w:t xml:space="preserve"> </w:t>
      </w:r>
      <w:r>
        <w:rPr>
          <w:rFonts w:cs="Arial Narrow" w:ascii="Arial Narrow" w:hAnsi="Arial Narrow"/>
          <w:sz w:val="18"/>
          <w:szCs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szCs w:val="18"/>
        </w:rPr>
        <w:t xml:space="preserve">[REPEAT TEXT AFTER </w:t>
      </w:r>
      <w:r>
        <w:rPr>
          <w:rFonts w:eastAsia="Symbol" w:cs="Symbol" w:ascii="Symbol" w:hAnsi="Symbol"/>
          <w:sz w:val="18"/>
          <w:szCs w:val="18"/>
        </w:rPr>
        <w:sym w:font="Symbol" w:char="f0de"/>
      </w:r>
      <w:r>
        <w:rPr>
          <w:rFonts w:cs="Arial Narrow" w:ascii="Arial Narrow" w:hAnsi="Arial Narrow"/>
          <w:sz w:val="18"/>
          <w:szCs w:val="18"/>
        </w:rPr>
        <w:t xml:space="preserve"> FOR EACH DELIVERY MONTH OF THE PERIOD OF DELIVERY FOR WHICH THE EFP </w:t>
      </w:r>
      <w:r>
        <w:rPr>
          <w:rFonts w:cs="Arial Narrow" w:ascii="Arial Narrow" w:hAnsi="Arial Narrow"/>
          <w:caps/>
          <w:sz w:val="18"/>
          <w:szCs w:val="18"/>
        </w:rPr>
        <w:t>Posted Price is agreed as of the preparation of this Confirmation]</w:t>
      </w:r>
    </w:p>
    <w:p>
      <w:pPr>
        <w:pStyle w:val="Normal"/>
        <w:jc w:val="both"/>
        <w:rPr/>
      </w:pPr>
      <w:r>
        <w:rPr>
          <w:rFonts w:cs="Arial Narrow" w:ascii="Arial Narrow" w:hAnsi="Arial Narrow"/>
          <w:caps/>
          <w:sz w:val="18"/>
          <w:szCs w:val="18"/>
        </w:rPr>
        <w:t>i</w:t>
      </w:r>
      <w:r>
        <w:rPr>
          <w:rFonts w:cs="Arial Narrow" w:ascii="Arial Narrow" w:hAnsi="Arial Narrow"/>
          <w:sz w:val="18"/>
          <w:szCs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szCs w:val="18"/>
          <w:u w:val="single"/>
        </w:rPr>
        <w:t>Trading Day</w:t>
      </w:r>
      <w:r>
        <w:rPr>
          <w:rFonts w:cs="Arial Narrow" w:ascii="Arial Narrow" w:hAnsi="Arial Narrow"/>
          <w:sz w:val="18"/>
          <w:szCs w:val="18"/>
        </w:rPr>
        <w:t>" means any Day for which a NYMEX Gas contract is determinable.}</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sz w:val="18"/>
          <w:szCs w:val="18"/>
        </w:rPr>
        <w:t>This Confirmation is being provided pursuant to and in accordance with the ENFOLIO Master Firm Purchase/Sale Agreement in effect between Customer and Company (the "</w:t>
      </w:r>
      <w:r>
        <w:rPr>
          <w:rFonts w:cs="Arial Narrow" w:ascii="Arial Narrow" w:hAnsi="Arial Narrow"/>
          <w:sz w:val="18"/>
          <w:szCs w:val="18"/>
          <w:u w:val="single"/>
        </w:rPr>
        <w:t>Agreement</w:t>
      </w:r>
      <w:r>
        <w:rPr>
          <w:rFonts w:cs="Arial Narrow" w:ascii="Arial Narrow" w:hAnsi="Arial Narrow"/>
          <w:sz w:val="18"/>
          <w:szCs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bCs/>
          <w:sz w:val="18"/>
          <w:szCs w:val="18"/>
        </w:rPr>
      </w:pPr>
      <w:r>
        <w:rPr>
          <w:rFonts w:cs="Arial Narrow" w:ascii="Arial Narrow" w:hAnsi="Arial Narrow"/>
          <w:b/>
          <w:bCs/>
          <w:sz w:val="18"/>
          <w:szCs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center"/>
        <w:rPr>
          <w:rFonts w:ascii="Arial Narrow" w:hAnsi="Arial Narrow" w:cs="Arial Narrow"/>
          <w:sz w:val="18"/>
          <w:szCs w:val="18"/>
        </w:rPr>
      </w:pPr>
      <w:r>
        <w:rPr>
          <w:rFonts w:cs="Arial Narrow" w:ascii="Arial Narrow" w:hAnsi="Arial Narrow"/>
          <w:b/>
          <w:bCs/>
          <w:sz w:val="18"/>
          <w:szCs w:val="18"/>
        </w:rPr>
        <w:t>EXHIBIT "B-1"</w:t>
      </w:r>
    </w:p>
    <w:p>
      <w:pPr>
        <w:pStyle w:val="Normal"/>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sz w:val="18"/>
          <w:szCs w:val="18"/>
          <w:u w:val="single"/>
        </w:rPr>
      </w:pPr>
      <w:r>
        <w:rPr>
          <w:rFonts w:cs="Arial Narrow" w:ascii="Arial Narrow" w:hAnsi="Arial Narrow"/>
          <w:sz w:val="18"/>
          <w:szCs w:val="18"/>
        </w:rPr>
        <w:t xml:space="preserve">SUGGESTED FORM OF TRANSACTION AGREEMENT FOR USE WITH TRANSACTIONS FORMED UNDER </w:t>
      </w:r>
      <w:r>
        <w:rPr>
          <w:rFonts w:cs="Arial Narrow" w:ascii="Arial Narrow" w:hAnsi="Arial Narrow"/>
          <w:sz w:val="18"/>
          <w:szCs w:val="18"/>
          <w:u w:val="single"/>
        </w:rPr>
        <w:t>SECTION 2.2(i)</w:t>
      </w:r>
      <w:r>
        <w:rPr>
          <w:rFonts w:cs="Arial Narrow" w:ascii="Arial Narrow" w:hAnsi="Arial Narrow"/>
          <w:sz w:val="18"/>
          <w:szCs w:val="18"/>
        </w:rPr>
        <w:t xml:space="preserve"> </w:t>
      </w:r>
    </w:p>
    <w:p>
      <w:pPr>
        <w:pStyle w:val="Normal"/>
        <w:jc w:val="center"/>
        <w:rPr>
          <w:rFonts w:ascii="Arial Narrow" w:hAnsi="Arial Narrow" w:cs="Arial Narrow"/>
          <w:sz w:val="18"/>
          <w:szCs w:val="18"/>
          <w:u w:val="single"/>
        </w:rPr>
      </w:pPr>
      <w:r>
        <w:rPr>
          <w:rFonts w:cs="Arial Narrow" w:ascii="Arial Narrow" w:hAnsi="Arial Narrow"/>
          <w:sz w:val="18"/>
          <w:szCs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szCs w:val="18"/>
        </w:rPr>
        <w:t>This Transaction Agreement shall form and effectuate the current proposal between _____________________ ("</w:t>
      </w:r>
      <w:r>
        <w:rPr>
          <w:rFonts w:cs="Arial Narrow" w:ascii="Arial Narrow" w:hAnsi="Arial Narrow"/>
          <w:sz w:val="18"/>
          <w:szCs w:val="18"/>
          <w:u w:val="single"/>
        </w:rPr>
        <w:t>Customer</w:t>
      </w:r>
      <w:r>
        <w:rPr>
          <w:rFonts w:cs="Arial Narrow" w:ascii="Arial Narrow" w:hAnsi="Arial Narrow"/>
          <w:sz w:val="18"/>
          <w:szCs w:val="18"/>
        </w:rPr>
        <w:t>") and _____________ ("</w:t>
      </w:r>
      <w:r>
        <w:rPr>
          <w:rFonts w:cs="Arial Narrow" w:ascii="Arial Narrow" w:hAnsi="Arial Narrow"/>
          <w:sz w:val="18"/>
          <w:szCs w:val="18"/>
          <w:u w:val="single"/>
        </w:rPr>
        <w:t>Company</w:t>
      </w:r>
      <w:r>
        <w:rPr>
          <w:rFonts w:cs="Arial Narrow" w:ascii="Arial Narrow" w:hAnsi="Arial Narrow"/>
          <w:sz w:val="18"/>
          <w:szCs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u w:val="single"/>
        </w:rPr>
      </w:pPr>
      <w:r>
        <w:rPr>
          <w:rFonts w:cs="Arial Narrow" w:ascii="Arial Narrow" w:hAnsi="Arial Narrow"/>
          <w:sz w:val="18"/>
          <w:szCs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szCs w:val="18"/>
        </w:rPr>
      </w:pPr>
      <w:r>
        <w:rPr>
          <w:rFonts w:cs="Arial Narrow" w:ascii="Arial Narrow" w:hAnsi="Arial Narrow"/>
          <w:sz w:val="18"/>
          <w:szCs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szCs w:val="18"/>
        </w:rPr>
      </w:pPr>
      <w:r>
        <w:rPr>
          <w:rFonts w:cs="Arial Narrow" w:ascii="Arial Narrow" w:hAnsi="Arial Narrow"/>
          <w:sz w:val="18"/>
          <w:szCs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szCs w:val="18"/>
        </w:rPr>
      </w:pPr>
      <w:r>
        <w:rPr>
          <w:rFonts w:cs="Arial Narrow" w:ascii="Arial Narrow" w:hAnsi="Arial Narrow"/>
          <w:sz w:val="18"/>
          <w:szCs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bCs/>
          <w:sz w:val="18"/>
          <w:szCs w:val="18"/>
        </w:rPr>
      </w:pPr>
      <w:r>
        <w:rPr>
          <w:rFonts w:cs="Arial Narrow" w:ascii="Arial Narrow" w:hAnsi="Arial Narrow"/>
          <w:b/>
          <w:bCs/>
          <w:sz w:val="18"/>
          <w:szCs w:val="18"/>
        </w:rPr>
        <w:t>SIGNATURE LINES FOR CUSTOMER AND COMPANY</w:t>
      </w:r>
      <w:r>
        <w:br w:type="page"/>
      </w:r>
    </w:p>
    <w:p>
      <w:pPr>
        <w:pStyle w:val="Normal"/>
        <w:rPr>
          <w:rFonts w:ascii="Arial Narrow" w:hAnsi="Arial Narrow" w:cs="Arial Narrow"/>
          <w:b/>
          <w:bCs/>
          <w:sz w:val="18"/>
          <w:szCs w:val="18"/>
        </w:rPr>
      </w:pPr>
      <w:r>
        <w:rPr>
          <w:rFonts w:cs="Arial Narrow" w:ascii="Arial Narrow" w:hAnsi="Arial Narrow"/>
          <w:b/>
          <w:bCs/>
          <w:sz w:val="18"/>
          <w:szCs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szCs w:val="18"/>
      </w:rPr>
    </w:pPr>
    <w:r>
      <w:rPr>
        <w:rFonts w:cs="Arial Narrow" w:ascii="Arial Narrow" w:hAnsi="Arial Narrow"/>
        <w:sz w:val="18"/>
        <w:szCs w:val="18"/>
      </w:rPr>
      <w:fldChar w:fldCharType="begin"/>
    </w:r>
    <w:r>
      <w:rPr>
        <w:sz w:val="18"/>
        <w:szCs w:val="18"/>
        <w:rFonts w:cs="Arial Narrow" w:ascii="Arial Narrow" w:hAnsi="Arial Narrow"/>
      </w:rPr>
      <w:instrText xml:space="preserve"> PAGE </w:instrText>
    </w:r>
    <w:r>
      <w:rPr>
        <w:sz w:val="18"/>
        <w:szCs w:val="18"/>
        <w:rFonts w:cs="Arial Narrow" w:ascii="Arial Narrow" w:hAnsi="Arial Narrow"/>
      </w:rPr>
      <w:fldChar w:fldCharType="separate"/>
    </w:r>
    <w:r>
      <w:rPr>
        <w:sz w:val="18"/>
        <w:szCs w:val="18"/>
        <w:rFonts w:cs="Arial Narrow" w:ascii="Arial Narrow" w:hAnsi="Arial Narrow"/>
      </w:rPr>
      <w:t>6</w:t>
    </w:r>
    <w:r>
      <w:rPr>
        <w:sz w:val="18"/>
        <w:szCs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szCs w:val="18"/>
      </w:rPr>
      <w:t>"1"-</w:t>
    </w:r>
    <w:r>
      <w:rPr>
        <w:rFonts w:cs="Arial Narrow" w:ascii="Arial Narrow" w:hAnsi="Arial Narrow"/>
        <w:sz w:val="18"/>
        <w:szCs w:val="18"/>
      </w:rPr>
      <w:fldChar w:fldCharType="begin"/>
    </w:r>
    <w:r>
      <w:rPr>
        <w:sz w:val="18"/>
        <w:szCs w:val="18"/>
        <w:rFonts w:cs="Arial Narrow" w:ascii="Arial Narrow" w:hAnsi="Arial Narrow"/>
      </w:rPr>
      <w:instrText xml:space="preserve"> PAGE </w:instrText>
    </w:r>
    <w:r>
      <w:rPr>
        <w:sz w:val="18"/>
        <w:szCs w:val="18"/>
        <w:rFonts w:cs="Arial Narrow" w:ascii="Arial Narrow" w:hAnsi="Arial Narrow"/>
      </w:rPr>
      <w:fldChar w:fldCharType="separate"/>
    </w:r>
    <w:r>
      <w:rPr>
        <w:sz w:val="18"/>
        <w:szCs w:val="18"/>
        <w:rFonts w:cs="Arial Narrow" w:ascii="Arial Narrow" w:hAnsi="Arial Narrow"/>
      </w:rPr>
      <w:t>4</w:t>
    </w:r>
    <w:r>
      <w:rPr>
        <w:sz w:val="18"/>
        <w:szCs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szCs w:val="18"/>
      </w:rPr>
    </w:pPr>
    <w:r>
      <w:rPr>
        <w:sz w:val="18"/>
        <w:szCs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szCs w:val="18"/>
      </w:rPr>
    </w:pPr>
    <w:r>
      <w:rPr>
        <w:rFonts w:cs="Arial" w:ascii="Arial" w:hAnsi="Arial"/>
        <w:b/>
        <w:bCs/>
        <w:sz w:val="18"/>
        <w:szCs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szCs w:val="18"/>
      </w:rPr>
    </w:pPr>
    <w:r>
      <w:rPr>
        <w:rFonts w:cs="Arial" w:ascii="Arial" w:hAnsi="Arial"/>
        <w:b/>
        <w:bCs/>
        <w:sz w:val="18"/>
        <w:szCs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2"/>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2001-04-12T19:15:00Z</dcterms:created>
  <dc:creator>dperlin</dc:creator>
  <dc:description/>
  <dc:language>en-CA</dc:language>
  <cp:lastModifiedBy>dperlin</cp:lastModifiedBy>
  <cp:lastPrinted>2001-04-12T16:34:00Z</cp:lastPrinted>
  <dcterms:modified xsi:type="dcterms:W3CDTF">2001-04-12T19:15:00Z</dcterms:modified>
  <cp:revision>2</cp:revision>
  <dc:subject/>
  <dc:title>ENFOLIO® MASTER FIRM PURCHASE/SALE AGREEMENT</dc:title>
</cp:coreProperties>
</file>