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6120" w:end="0"/>
        <w:rPr>
          <w:rFonts w:ascii="Arial" w:hAnsi="Arial" w:cs="Arial"/>
          <w:sz w:val="20"/>
        </w:rPr>
      </w:pPr>
      <w:r>
        <w:rPr>
          <w:rFonts w:cs="Arial" w:ascii="Arial" w:hAnsi="Arial"/>
          <w:sz w:val="20"/>
        </w:rPr>
      </w:r>
    </w:p>
    <w:p>
      <w:pPr>
        <w:pStyle w:val="Normal"/>
        <w:ind w:start="6120" w:end="0"/>
        <w:rPr>
          <w:rFonts w:ascii="Arial" w:hAnsi="Arial" w:cs="Arial"/>
          <w:sz w:val="20"/>
        </w:rPr>
      </w:pPr>
      <w:r>
        <w:rPr>
          <w:rFonts w:cs="Arial" w:ascii="Arial" w:hAnsi="Arial"/>
          <w:sz w:val="20"/>
        </w:rPr>
      </w:r>
    </w:p>
    <w:p>
      <w:pPr>
        <w:pStyle w:val="Normal"/>
        <w:ind w:start="6120" w:end="0"/>
        <w:rPr>
          <w:rFonts w:ascii="Arial" w:hAnsi="Arial" w:cs="Arial"/>
          <w:sz w:val="20"/>
        </w:rPr>
      </w:pPr>
      <w:r>
        <w:rPr>
          <w:rFonts w:cs="Arial" w:ascii="Arial" w:hAnsi="Arial"/>
          <w:sz w:val="20"/>
        </w:rPr>
      </w:r>
    </w:p>
    <w:p>
      <w:pPr>
        <w:pStyle w:val="Normal"/>
        <w:ind w:start="6120" w:end="0"/>
        <w:rPr>
          <w:rFonts w:ascii="Arial" w:hAnsi="Arial" w:cs="Arial"/>
          <w:sz w:val="20"/>
        </w:rPr>
      </w:pPr>
      <w:r>
        <w:rPr>
          <w:rFonts w:cs="Arial" w:ascii="Arial" w:hAnsi="Arial"/>
          <w:sz w:val="20"/>
        </w:rPr>
      </w:r>
    </w:p>
    <w:p>
      <w:pPr>
        <w:pStyle w:val="Normal"/>
        <w:ind w:start="6120" w:end="0"/>
        <w:rPr>
          <w:rFonts w:ascii="Arial" w:hAnsi="Arial" w:cs="Arial"/>
          <w:sz w:val="20"/>
        </w:rPr>
      </w:pPr>
      <w:r>
        <w:rPr>
          <w:rFonts w:cs="Arial" w:ascii="Arial" w:hAnsi="Arial"/>
          <w:sz w:val="20"/>
        </w:rPr>
      </w:r>
    </w:p>
    <w:p>
      <w:pPr>
        <w:pStyle w:val="Normal"/>
        <w:ind w:start="6120" w:end="0"/>
        <w:rPr>
          <w:rFonts w:ascii="Arial" w:hAnsi="Arial" w:cs="Arial"/>
          <w:sz w:val="20"/>
        </w:rPr>
      </w:pPr>
      <w:r>
        <w:rPr>
          <w:rFonts w:cs="Arial" w:ascii="Arial" w:hAnsi="Arial"/>
          <w:sz w:val="20"/>
        </w:rPr>
      </w:r>
    </w:p>
    <w:p>
      <w:pPr>
        <w:pStyle w:val="Normal"/>
        <w:ind w:start="6120" w:end="0"/>
        <w:rPr>
          <w:rFonts w:ascii="Arial" w:hAnsi="Arial" w:cs="Arial"/>
          <w:sz w:val="20"/>
        </w:rPr>
      </w:pPr>
      <w:r>
        <w:rPr>
          <w:rFonts w:cs="Arial" w:ascii="Arial" w:hAnsi="Arial"/>
          <w:sz w:val="20"/>
        </w:rPr>
      </w:r>
    </w:p>
    <w:p>
      <w:pPr>
        <w:pStyle w:val="Normal"/>
        <w:rPr>
          <w:rFonts w:ascii="Arial" w:hAnsi="Arial" w:cs="Arial"/>
          <w:sz w:val="19"/>
        </w:rPr>
      </w:pPr>
      <w:r>
        <w:rPr>
          <w:rFonts w:cs="Arial" w:ascii="Arial" w:hAnsi="Arial"/>
          <w:sz w:val="19"/>
        </w:rPr>
        <w:t>November 24, 2000</w:t>
      </w:r>
    </w:p>
    <w:p>
      <w:pPr>
        <w:pStyle w:val="Heading7"/>
        <w:ind w:hanging="0" w:start="0"/>
        <w:rPr>
          <w:sz w:val="19"/>
        </w:rPr>
      </w:pPr>
      <w:r>
        <w:rPr>
          <w:sz w:val="19"/>
        </w:rPr>
        <w:t>VIA FACSIMILE</w:t>
      </w:r>
    </w:p>
    <w:p>
      <w:pPr>
        <w:pStyle w:val="Normal"/>
        <w:rPr>
          <w:rFonts w:ascii="Arial" w:hAnsi="Arial" w:cs="Arial"/>
          <w:sz w:val="19"/>
        </w:rPr>
      </w:pPr>
      <w:r>
        <w:rPr>
          <w:rFonts w:cs="Arial" w:ascii="Arial" w:hAnsi="Arial"/>
          <w:sz w:val="19"/>
        </w:rPr>
      </w:r>
    </w:p>
    <w:p>
      <w:pPr>
        <w:pStyle w:val="Heading1"/>
        <w:ind w:hanging="0" w:start="0"/>
        <w:rPr>
          <w:sz w:val="19"/>
          <w:u w:val="none"/>
        </w:rPr>
      </w:pPr>
      <w:r>
        <w:rPr>
          <w:sz w:val="19"/>
          <w:u w:val="none"/>
        </w:rPr>
        <w:t>The Honourable Mike Cardinal</w:t>
      </w:r>
    </w:p>
    <w:p>
      <w:pPr>
        <w:pStyle w:val="Heading4"/>
        <w:ind w:hanging="0" w:start="0"/>
        <w:rPr>
          <w:sz w:val="19"/>
          <w:u w:val="none"/>
        </w:rPr>
      </w:pPr>
      <w:r>
        <w:rPr>
          <w:sz w:val="19"/>
          <w:u w:val="none"/>
        </w:rPr>
        <w:t>Minister of Resource Development</w:t>
      </w:r>
    </w:p>
    <w:p>
      <w:pPr>
        <w:pStyle w:val="Normal"/>
        <w:rPr/>
      </w:pPr>
      <w:r>
        <w:rPr>
          <w:rFonts w:cs="Arial" w:ascii="Arial" w:hAnsi="Arial"/>
          <w:sz w:val="19"/>
        </w:rPr>
        <w:t>9</w:t>
      </w:r>
      <w:r>
        <w:rPr>
          <w:rFonts w:cs="Arial" w:ascii="Arial" w:hAnsi="Arial"/>
          <w:sz w:val="19"/>
          <w:vertAlign w:val="superscript"/>
        </w:rPr>
        <w:t>th</w:t>
      </w:r>
      <w:r>
        <w:rPr>
          <w:rFonts w:cs="Arial" w:ascii="Arial" w:hAnsi="Arial"/>
          <w:sz w:val="19"/>
        </w:rPr>
        <w:t xml:space="preserve"> Floor, North Petroleum Plaza</w:t>
      </w:r>
    </w:p>
    <w:p>
      <w:pPr>
        <w:pStyle w:val="Normal"/>
        <w:rPr/>
      </w:pPr>
      <w:r>
        <w:rPr>
          <w:rFonts w:cs="Arial" w:ascii="Arial" w:hAnsi="Arial"/>
          <w:sz w:val="19"/>
        </w:rPr>
        <w:t>9945 – 108</w:t>
      </w:r>
      <w:r>
        <w:rPr>
          <w:rFonts w:cs="Arial" w:ascii="Arial" w:hAnsi="Arial"/>
          <w:sz w:val="19"/>
          <w:vertAlign w:val="superscript"/>
        </w:rPr>
        <w:t>th</w:t>
      </w:r>
      <w:r>
        <w:rPr>
          <w:rFonts w:cs="Arial" w:ascii="Arial" w:hAnsi="Arial"/>
          <w:sz w:val="19"/>
        </w:rPr>
        <w:t xml:space="preserve"> Street</w:t>
      </w:r>
    </w:p>
    <w:p>
      <w:pPr>
        <w:pStyle w:val="Normal"/>
        <w:rPr>
          <w:rFonts w:ascii="Arial" w:hAnsi="Arial" w:cs="Arial"/>
          <w:sz w:val="19"/>
        </w:rPr>
      </w:pPr>
      <w:r>
        <w:rPr>
          <w:rFonts w:cs="Arial" w:ascii="Arial" w:hAnsi="Arial"/>
          <w:sz w:val="19"/>
        </w:rPr>
        <w:t>Edmonton, Alberta   T5K 2G6</w:t>
      </w:r>
    </w:p>
    <w:p>
      <w:pPr>
        <w:pStyle w:val="Normal"/>
        <w:rPr>
          <w:rFonts w:ascii="Arial" w:hAnsi="Arial" w:cs="Arial"/>
          <w:sz w:val="19"/>
        </w:rPr>
      </w:pPr>
      <w:r>
        <w:rPr>
          <w:rFonts w:cs="Arial" w:ascii="Arial" w:hAnsi="Arial"/>
          <w:sz w:val="19"/>
        </w:rPr>
      </w:r>
    </w:p>
    <w:p>
      <w:pPr>
        <w:pStyle w:val="Normal"/>
        <w:rPr>
          <w:rFonts w:ascii="Arial" w:hAnsi="Arial" w:cs="Arial"/>
          <w:sz w:val="19"/>
        </w:rPr>
      </w:pPr>
      <w:r>
        <w:rPr>
          <w:rFonts w:cs="Arial" w:ascii="Arial" w:hAnsi="Arial"/>
          <w:sz w:val="19"/>
        </w:rPr>
        <w:t>Dear Minister Cardinal:</w:t>
      </w:r>
    </w:p>
    <w:p>
      <w:pPr>
        <w:pStyle w:val="Normal"/>
        <w:jc w:val="both"/>
        <w:rPr>
          <w:rFonts w:ascii="Arial" w:hAnsi="Arial" w:cs="Arial"/>
          <w:sz w:val="19"/>
        </w:rPr>
      </w:pPr>
      <w:r>
        <w:rPr>
          <w:rFonts w:cs="Arial" w:ascii="Arial" w:hAnsi="Arial"/>
          <w:sz w:val="19"/>
        </w:rPr>
      </w:r>
    </w:p>
    <w:p>
      <w:pPr>
        <w:pStyle w:val="BodyTextIndent"/>
        <w:rPr>
          <w:sz w:val="19"/>
        </w:rPr>
      </w:pPr>
      <w:r>
        <w:rPr>
          <w:sz w:val="19"/>
        </w:rPr>
        <w:t>Re:</w:t>
        <w:tab/>
        <w:t>Recent Media Coverage of Competition Bureau Investigation of Powerex and Enron Canada Corp.</w:t>
      </w:r>
    </w:p>
    <w:p>
      <w:pPr>
        <w:pStyle w:val="Normal"/>
        <w:jc w:val="both"/>
        <w:rPr>
          <w:rFonts w:ascii="Arial" w:hAnsi="Arial" w:cs="Arial"/>
          <w:sz w:val="19"/>
        </w:rPr>
      </w:pPr>
      <w:r>
        <w:rPr>
          <w:rFonts w:cs="Arial" w:ascii="Arial" w:hAnsi="Arial"/>
          <w:sz w:val="19"/>
        </w:rPr>
      </w:r>
    </w:p>
    <w:p>
      <w:pPr>
        <w:pStyle w:val="Normal"/>
        <w:jc w:val="both"/>
        <w:rPr>
          <w:rFonts w:ascii="Arial" w:hAnsi="Arial" w:cs="Arial"/>
          <w:sz w:val="19"/>
        </w:rPr>
      </w:pPr>
      <w:r>
        <w:rPr>
          <w:rFonts w:cs="Arial" w:ascii="Arial" w:hAnsi="Arial"/>
          <w:sz w:val="19"/>
        </w:rPr>
        <w:t>Enron Canada Corp. ("Enron") has been monitoring the recent media reports relating to the Competition Bureau Investigation of transactions between Powerex and Enron in 1999.</w:t>
      </w:r>
    </w:p>
    <w:p>
      <w:pPr>
        <w:pStyle w:val="Normal"/>
        <w:jc w:val="both"/>
        <w:rPr>
          <w:rFonts w:ascii="Arial" w:hAnsi="Arial" w:cs="Arial"/>
          <w:sz w:val="19"/>
        </w:rPr>
      </w:pPr>
      <w:r>
        <w:rPr>
          <w:rFonts w:cs="Arial" w:ascii="Arial" w:hAnsi="Arial"/>
          <w:sz w:val="19"/>
        </w:rPr>
      </w:r>
    </w:p>
    <w:p>
      <w:pPr>
        <w:pStyle w:val="Normal"/>
        <w:jc w:val="both"/>
        <w:rPr>
          <w:rFonts w:ascii="Arial" w:hAnsi="Arial" w:cs="Arial"/>
          <w:sz w:val="19"/>
        </w:rPr>
      </w:pPr>
      <w:r>
        <w:rPr>
          <w:rFonts w:cs="Arial" w:ascii="Arial" w:hAnsi="Arial"/>
          <w:sz w:val="19"/>
        </w:rPr>
        <w:t>The essence of Enron's responses to media inquiries to date has been and will continue to be that Enron participates in regulated power markets around the world and devotes tremendous resources to ensure that its business practices comply with all applicable laws and regulations; that  based on Enron's own review of the circumstances in question it operated at all times within the rules of the Power Pool of Alberta and applicable Canadian Competition law; and that  Enron has cooperated with the investigation and will continue to cooperate if the investigation proceeds.</w:t>
      </w:r>
    </w:p>
    <w:p>
      <w:pPr>
        <w:pStyle w:val="Normal"/>
        <w:jc w:val="both"/>
        <w:rPr>
          <w:rFonts w:ascii="Arial" w:hAnsi="Arial" w:cs="Arial"/>
          <w:sz w:val="19"/>
        </w:rPr>
      </w:pPr>
      <w:r>
        <w:rPr>
          <w:rFonts w:cs="Arial" w:ascii="Arial" w:hAnsi="Arial"/>
          <w:sz w:val="19"/>
        </w:rPr>
      </w:r>
    </w:p>
    <w:p>
      <w:pPr>
        <w:pStyle w:val="Normal"/>
        <w:jc w:val="both"/>
        <w:rPr>
          <w:rFonts w:ascii="Arial" w:hAnsi="Arial" w:cs="Arial"/>
          <w:sz w:val="19"/>
        </w:rPr>
      </w:pPr>
      <w:r>
        <w:rPr>
          <w:rFonts w:cs="Arial" w:ascii="Arial" w:hAnsi="Arial"/>
          <w:sz w:val="19"/>
        </w:rPr>
        <w:t xml:space="preserve">Unfortunately, some media reports have either impliedly or expressly stated that Enron believes the Alberta power market structure exhibits fundamental design flaws.  We are writing to assure you and the Alberta Government that Enron has not made any such statement to the media.   In fact, to the contrary, Enron is confident  that  Alberta  has established institutions and  rules that will ensure a successful transition to full electricity market competition on January 1, 2001.    </w:t>
      </w:r>
    </w:p>
    <w:p>
      <w:pPr>
        <w:pStyle w:val="Normal"/>
        <w:jc w:val="both"/>
        <w:rPr>
          <w:rFonts w:ascii="Arial" w:hAnsi="Arial" w:cs="Arial"/>
          <w:sz w:val="19"/>
        </w:rPr>
      </w:pPr>
      <w:r>
        <w:rPr>
          <w:rFonts w:cs="Arial" w:ascii="Arial" w:hAnsi="Arial"/>
          <w:sz w:val="19"/>
        </w:rPr>
      </w:r>
    </w:p>
    <w:p>
      <w:pPr>
        <w:pStyle w:val="BodyText"/>
        <w:rPr>
          <w:sz w:val="19"/>
        </w:rPr>
      </w:pPr>
      <w:r>
        <w:rPr>
          <w:sz w:val="19"/>
        </w:rPr>
        <w:t>If you or your officials require further information respecting this matter, please feel free to contact me at (403) 974-6746.</w:t>
      </w:r>
    </w:p>
    <w:p>
      <w:pPr>
        <w:pStyle w:val="Normal"/>
        <w:jc w:val="both"/>
        <w:rPr>
          <w:rFonts w:ascii="Arial" w:hAnsi="Arial" w:cs="Arial"/>
          <w:sz w:val="19"/>
        </w:rPr>
      </w:pPr>
      <w:r>
        <w:rPr>
          <w:rFonts w:cs="Arial" w:ascii="Arial" w:hAnsi="Arial"/>
          <w:sz w:val="19"/>
        </w:rPr>
      </w:r>
    </w:p>
    <w:p>
      <w:pPr>
        <w:pStyle w:val="Normal"/>
        <w:rPr>
          <w:rFonts w:ascii="Arial" w:hAnsi="Arial" w:cs="Arial"/>
          <w:sz w:val="19"/>
        </w:rPr>
      </w:pPr>
      <w:r>
        <w:rPr>
          <w:rFonts w:cs="Arial" w:ascii="Arial" w:hAnsi="Arial"/>
          <w:sz w:val="19"/>
        </w:rPr>
        <w:t>Yours truly,</w:t>
      </w:r>
    </w:p>
    <w:p>
      <w:pPr>
        <w:pStyle w:val="Normal"/>
        <w:rPr>
          <w:rFonts w:ascii="Arial" w:hAnsi="Arial" w:cs="Arial"/>
          <w:sz w:val="19"/>
        </w:rPr>
      </w:pPr>
      <w:r>
        <w:rPr>
          <w:rFonts w:cs="Arial" w:ascii="Arial" w:hAnsi="Arial"/>
          <w:sz w:val="19"/>
        </w:rPr>
      </w:r>
    </w:p>
    <w:p>
      <w:pPr>
        <w:pStyle w:val="Normal"/>
        <w:rPr>
          <w:rFonts w:ascii="Arial" w:hAnsi="Arial" w:cs="Arial"/>
          <w:b/>
          <w:sz w:val="19"/>
        </w:rPr>
      </w:pPr>
      <w:r>
        <w:rPr>
          <w:rFonts w:cs="Arial" w:ascii="Arial" w:hAnsi="Arial"/>
          <w:b/>
          <w:sz w:val="19"/>
        </w:rPr>
        <w:t>ENRON CANADA CORP.</w:t>
      </w:r>
    </w:p>
    <w:p>
      <w:pPr>
        <w:pStyle w:val="Normal"/>
        <w:rPr>
          <w:rFonts w:ascii="Arial" w:hAnsi="Arial" w:cs="Arial"/>
          <w:b/>
          <w:sz w:val="19"/>
        </w:rPr>
      </w:pPr>
      <w:r>
        <w:rPr>
          <w:rFonts w:cs="Arial" w:ascii="Arial" w:hAnsi="Arial"/>
          <w:b/>
          <w:sz w:val="19"/>
        </w:rPr>
      </w:r>
    </w:p>
    <w:p>
      <w:pPr>
        <w:pStyle w:val="Normal"/>
        <w:rPr>
          <w:rFonts w:ascii="Arial" w:hAnsi="Arial" w:cs="Arial"/>
          <w:sz w:val="19"/>
        </w:rPr>
      </w:pPr>
      <w:r>
        <w:rPr>
          <w:rFonts w:cs="Arial" w:ascii="Arial" w:hAnsi="Arial"/>
          <w:sz w:val="19"/>
        </w:rPr>
      </w:r>
    </w:p>
    <w:p>
      <w:pPr>
        <w:pStyle w:val="Normal"/>
        <w:rPr>
          <w:rFonts w:ascii="Arial" w:hAnsi="Arial" w:cs="Arial"/>
          <w:sz w:val="19"/>
        </w:rPr>
      </w:pPr>
      <w:r>
        <w:rPr>
          <w:rFonts w:cs="Arial" w:ascii="Arial" w:hAnsi="Arial"/>
          <w:sz w:val="19"/>
        </w:rPr>
      </w:r>
    </w:p>
    <w:p>
      <w:pPr>
        <w:pStyle w:val="Normal"/>
        <w:rPr>
          <w:rFonts w:ascii="Arial" w:hAnsi="Arial" w:cs="Arial"/>
          <w:sz w:val="19"/>
        </w:rPr>
      </w:pPr>
      <w:r>
        <w:rPr>
          <w:rFonts w:cs="Arial" w:ascii="Arial" w:hAnsi="Arial"/>
          <w:sz w:val="19"/>
        </w:rPr>
      </w:r>
    </w:p>
    <w:p>
      <w:pPr>
        <w:pStyle w:val="Normal"/>
        <w:rPr>
          <w:rFonts w:ascii="Arial" w:hAnsi="Arial" w:cs="Arial"/>
          <w:sz w:val="19"/>
        </w:rPr>
      </w:pPr>
      <w:r>
        <w:rPr>
          <w:rFonts w:cs="Arial" w:ascii="Arial" w:hAnsi="Arial"/>
          <w:sz w:val="19"/>
        </w:rPr>
        <w:t>Robert Hemstock</w:t>
      </w:r>
    </w:p>
    <w:p>
      <w:pPr>
        <w:pStyle w:val="Normal"/>
        <w:rPr>
          <w:rFonts w:ascii="Arial" w:hAnsi="Arial" w:cs="Arial"/>
          <w:sz w:val="19"/>
        </w:rPr>
      </w:pPr>
      <w:r>
        <w:rPr>
          <w:rFonts w:cs="Arial" w:ascii="Arial" w:hAnsi="Arial"/>
          <w:sz w:val="19"/>
        </w:rPr>
        <w:t xml:space="preserve">Director, Government Affairs </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numPr>
          <w:ilvl w:val="0"/>
          <w:numId w:val="2"/>
        </w:numPr>
        <w:rPr>
          <w:rFonts w:ascii="Arial" w:hAnsi="Arial" w:cs="Arial"/>
          <w:i/>
          <w:i/>
          <w:sz w:val="16"/>
        </w:rPr>
      </w:pPr>
      <w:r>
        <w:rPr>
          <w:rFonts w:cs="Arial" w:ascii="Arial" w:hAnsi="Arial"/>
          <w:i/>
          <w:sz w:val="16"/>
        </w:rPr>
        <w:t>Ken Smith (Deputy Minister, Alberta Department of Resource Development)</w:t>
      </w:r>
    </w:p>
    <w:p>
      <w:pPr>
        <w:pStyle w:val="Normal"/>
        <w:tabs>
          <w:tab w:val="clear" w:pos="720"/>
          <w:tab w:val="left" w:pos="360" w:leader="none"/>
        </w:tabs>
        <w:rPr>
          <w:rFonts w:ascii="Arial" w:hAnsi="Arial" w:cs="Arial"/>
          <w:b/>
          <w:i/>
          <w:i/>
          <w:sz w:val="16"/>
        </w:rPr>
      </w:pPr>
      <w:r>
        <w:rPr>
          <w:rFonts w:cs="Arial" w:ascii="Arial" w:hAnsi="Arial"/>
          <w:i/>
          <w:sz w:val="16"/>
        </w:rPr>
        <w:tab/>
        <w:t>Larry Charach (Executive Director, Alberta Department of Resource Development)</w:t>
      </w:r>
    </w:p>
    <w:p>
      <w:pPr>
        <w:pStyle w:val="Normal"/>
        <w:tabs>
          <w:tab w:val="clear" w:pos="720"/>
          <w:tab w:val="left" w:pos="360" w:leader="none"/>
        </w:tabs>
        <w:rPr>
          <w:rFonts w:ascii="Arial" w:hAnsi="Arial" w:cs="Arial"/>
          <w:i/>
          <w:i/>
          <w:sz w:val="16"/>
        </w:rPr>
      </w:pPr>
      <w:r>
        <w:rPr>
          <w:rFonts w:cs="Arial" w:ascii="Arial" w:hAnsi="Arial"/>
          <w:i/>
          <w:sz w:val="16"/>
        </w:rPr>
        <w:tab/>
        <w:t>Mark Erdman (Communications Director, Alberta Department of Resource Development)</w:t>
      </w:r>
    </w:p>
    <w:p>
      <w:pPr>
        <w:pStyle w:val="Normal"/>
        <w:tabs>
          <w:tab w:val="clear" w:pos="720"/>
          <w:tab w:val="left" w:pos="360" w:leader="none"/>
        </w:tabs>
        <w:rPr/>
      </w:pPr>
      <w:r>
        <w:rPr>
          <w:rFonts w:cs="Arial" w:ascii="Arial" w:hAnsi="Arial"/>
          <w:b/>
          <w:i/>
          <w:sz w:val="16"/>
        </w:rPr>
        <w:tab/>
      </w:r>
      <w:r>
        <w:rPr>
          <w:rFonts w:cs="Arial" w:ascii="Arial" w:hAnsi="Arial"/>
          <w:i/>
          <w:sz w:val="16"/>
        </w:rPr>
        <w:t>Maury Parsons (Council Chairman, Power Pool of Alberta)</w:t>
      </w:r>
    </w:p>
    <w:p>
      <w:pPr>
        <w:pStyle w:val="Normal"/>
        <w:tabs>
          <w:tab w:val="clear" w:pos="720"/>
          <w:tab w:val="left" w:pos="360" w:leader="none"/>
        </w:tabs>
        <w:rPr>
          <w:rFonts w:ascii="Arial" w:hAnsi="Arial" w:cs="Arial"/>
          <w:i/>
          <w:i/>
          <w:sz w:val="16"/>
        </w:rPr>
      </w:pPr>
      <w:r>
        <w:rPr>
          <w:rFonts w:cs="Arial" w:ascii="Arial" w:hAnsi="Arial"/>
          <w:i/>
          <w:sz w:val="16"/>
        </w:rPr>
        <w:tab/>
        <w:t>Lorry Wilson (Chief Executive Officer, Power Pool of Alberta)</w:t>
      </w:r>
    </w:p>
    <w:p>
      <w:pPr>
        <w:pStyle w:val="Normal"/>
        <w:tabs>
          <w:tab w:val="clear" w:pos="720"/>
          <w:tab w:val="left" w:pos="360" w:leader="none"/>
        </w:tabs>
        <w:rPr>
          <w:rFonts w:ascii="Arial" w:hAnsi="Arial" w:cs="Arial"/>
          <w:i/>
          <w:i/>
          <w:sz w:val="16"/>
        </w:rPr>
      </w:pPr>
      <w:r>
        <w:rPr>
          <w:rFonts w:cs="Arial" w:ascii="Arial" w:hAnsi="Arial"/>
          <w:i/>
          <w:sz w:val="16"/>
        </w:rPr>
      </w:r>
    </w:p>
    <w:sectPr>
      <w:headerReference w:type="default" r:id="rId2"/>
      <w:headerReference w:type="first" r:id="rId3"/>
      <w:footerReference w:type="default" r:id="rId4"/>
      <w:footerReference w:type="first" r:id="rId5"/>
      <w:type w:val="nextPage"/>
      <w:pgSz w:w="12240" w:h="15840"/>
      <w:pgMar w:left="1800" w:right="1800" w:gutter="0" w:header="720" w:top="1440" w:footer="288"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charset w:val="00" w:characterSet="windows-1252"/>
    <w:family w:val="swiss"/>
    <w:pitch w:val="variable"/>
  </w:font>
  <w:font w:name="CG Times (WN)">
    <w:altName w:val="Arial"/>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lang w:eastAsia="en-US"/>
      </w:rPr>
    </w:pPr>
    <w:r>
      <w:rPr>
        <w:rFonts w:cs="Arial" w:ascii="Arial" w:hAnsi="Arial"/>
        <w:sz w:val="16"/>
        <w:lang w:eastAsia="en-US"/>
      </w:rPr>
      <w:fldChar w:fldCharType="begin"/>
    </w:r>
    <w:r>
      <w:rPr>
        <w:sz w:val="16"/>
        <w:rFonts w:cs="Arial" w:ascii="Arial" w:hAnsi="Arial"/>
        <w:lang w:eastAsia="en-US"/>
      </w:rPr>
      <w:instrText xml:space="preserve"> FILENAME \p </w:instrText>
    </w:r>
    <w:r>
      <w:rPr>
        <w:sz w:val="16"/>
        <w:rFonts w:cs="Arial" w:ascii="Arial" w:hAnsi="Arial"/>
        <w:lang w:eastAsia="en-US"/>
      </w:rPr>
      <w:fldChar w:fldCharType="separate"/>
    </w:r>
    <w:r>
      <w:rPr>
        <w:sz w:val="16"/>
        <w:rFonts w:cs="Arial" w:ascii="Arial" w:hAnsi="Arial"/>
        <w:lang w:eastAsia="en-US"/>
      </w:rPr>
      <w:t>/mnt/main-storage/datasets/enron-docs/doc/Cardinal.Mike.doc</w:t>
    </w:r>
    <w:r>
      <w:rPr>
        <w:sz w:val="16"/>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lang w:eastAsia="en-US"/>
      </w:rPr>
    </w:pPr>
    <w:r>
      <w:rPr>
        <w:rFonts w:cs="Arial" w:ascii="Arial" w:hAnsi="Arial"/>
        <w:sz w:val="14"/>
        <w:lang w:eastAsia="en-US"/>
      </w:rPr>
      <w:fldChar w:fldCharType="begin"/>
    </w:r>
    <w:r>
      <w:rPr>
        <w:sz w:val="14"/>
        <w:rFonts w:cs="Arial" w:ascii="Arial" w:hAnsi="Arial"/>
        <w:lang w:eastAsia="en-US"/>
      </w:rPr>
      <w:instrText xml:space="preserve"> FILENAME \p </w:instrText>
    </w:r>
    <w:r>
      <w:rPr>
        <w:sz w:val="14"/>
        <w:rFonts w:cs="Arial" w:ascii="Arial" w:hAnsi="Arial"/>
        <w:lang w:eastAsia="en-US"/>
      </w:rPr>
      <w:fldChar w:fldCharType="separate"/>
    </w:r>
    <w:r>
      <w:rPr>
        <w:sz w:val="14"/>
        <w:rFonts w:cs="Arial" w:ascii="Arial" w:hAnsi="Arial"/>
        <w:lang w:eastAsia="en-US"/>
      </w:rPr>
      <w:t>/mnt/main-storage/datasets/enron-docs/doc/Cardinal.Mike.doc</w:t>
    </w:r>
    <w:r>
      <w:rPr>
        <w:sz w:val="14"/>
        <w:rFonts w:cs="Arial" w:ascii="Arial" w:hAnsi="Arial"/>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8"/>
      </w:rPr>
    </w:pPr>
    <w:r>
      <w:rPr>
        <w:rFonts w:cs="Arial" w:ascii="Arial" w:hAnsi="Arial"/>
        <w:sz w:val="18"/>
      </w:rPr>
    </w:r>
  </w:p>
  <w:p>
    <w:pPr>
      <w:pStyle w:val="Header"/>
      <w:jc w:val="end"/>
      <w:rPr>
        <w:rFonts w:ascii="Arial" w:hAnsi="Arial" w:cs="Arial"/>
        <w:sz w:val="18"/>
      </w:rPr>
    </w:pPr>
    <w:r>
      <w:rPr>
        <w:rFonts w:cs="Arial" w:ascii="Arial" w:hAnsi="Arial"/>
        <w:sz w:val="18"/>
      </w:rPr>
    </w:r>
  </w:p>
  <w:p>
    <w:pPr>
      <w:pStyle w:val="Header"/>
      <w:jc w:val="end"/>
      <w:rPr>
        <w:rFonts w:ascii="Arial" w:hAnsi="Arial" w:cs="Arial"/>
        <w:sz w:val="18"/>
      </w:rPr>
    </w:pPr>
    <w:r>
      <w:rPr>
        <w:rFonts w:cs="Arial" w:ascii="Arial" w:hAnsi="Arial"/>
        <w:sz w:val="18"/>
      </w:rPr>
    </w:r>
  </w:p>
  <w:p>
    <w:pPr>
      <w:pStyle w:val="Header"/>
      <w:jc w:val="end"/>
      <w:rPr>
        <w:rStyle w:val="PageNumber"/>
        <w:rFonts w:ascii="Arial" w:hAnsi="Arial" w:cs="Arial"/>
        <w:sz w:val="18"/>
      </w:rPr>
    </w:pPr>
    <w:r>
      <w:rPr>
        <w:rFonts w:cs="Arial" w:ascii="Arial" w:hAnsi="Arial"/>
        <w:sz w:val="18"/>
      </w:rPr>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0</w:t>
    </w:r>
    <w:r>
      <w:rPr>
        <w:rStyle w:val="PageNumber"/>
        <w:sz w:val="18"/>
        <w:rFonts w:cs="Arial" w:ascii="Arial" w:hAnsi="Arial"/>
      </w:rPr>
      <w:fldChar w:fldCharType="end"/>
    </w:r>
  </w:p>
  <w:p>
    <w:pPr>
      <w:pStyle w:val="Header"/>
      <w:jc w:val="end"/>
      <w:rPr>
        <w:rStyle w:val="PageNumber"/>
        <w:rFonts w:ascii="Arial" w:hAnsi="Arial" w:cs="Arial"/>
        <w:sz w:val="18"/>
      </w:rPr>
    </w:pPr>
    <w:r>
      <w:rPr/>
    </w:r>
  </w:p>
  <w:p>
    <w:pPr>
      <w:pStyle w:val="Header"/>
      <w:jc w:val="end"/>
      <w:rPr>
        <w:rStyle w:val="PageNumber"/>
        <w:rFonts w:ascii="Arial" w:hAnsi="Arial" w:cs="Arial"/>
        <w:sz w:val="18"/>
      </w:rPr>
    </w:pPr>
    <w:r>
      <w:rPr/>
    </w:r>
  </w:p>
  <w:p>
    <w:pPr>
      <w:pStyle w:val="Header"/>
      <w:jc w:val="end"/>
      <w:rPr>
        <w:rStyle w:val="PageNumber"/>
        <w:rFonts w:ascii="Arial" w:hAnsi="Arial" w:cs="Arial"/>
        <w:sz w:val="18"/>
      </w:rPr>
    </w:pPr>
    <w:r>
      <w:rPr/>
    </w:r>
  </w:p>
  <w:p>
    <w:pPr>
      <w:pStyle w:val="Header"/>
      <w:jc w:val="end"/>
      <w:rPr>
        <w:rStyle w:val="PageNumber"/>
        <w:rFonts w:ascii="Arial" w:hAnsi="Arial" w:cs="Arial"/>
        <w:sz w:val="18"/>
      </w:rPr>
    </w:pPr>
    <w:r>
      <w:rPr/>
    </w:r>
  </w:p>
  <w:p>
    <w:pPr>
      <w:pStyle w:val="Header"/>
      <w:jc w:val="end"/>
      <w:rPr>
        <w:rStyle w:val="PageNumber"/>
        <w:rFonts w:ascii="Arial" w:hAnsi="Arial" w:cs="Arial"/>
        <w:sz w:val="18"/>
      </w:rPr>
    </w:pPr>
    <w:r>
      <w:rPr/>
    </w:r>
  </w:p>
  <w:p>
    <w:pPr>
      <w:pStyle w:val="Header"/>
      <w:jc w:val="end"/>
      <w:rPr>
        <w:rStyle w:val="PageNumber"/>
        <w:rFonts w:ascii="Arial" w:hAnsi="Arial" w:cs="Arial"/>
        <w:sz w:val="18"/>
      </w:rPr>
    </w:pPr>
    <w:r>
      <w:rPr/>
    </w:r>
  </w:p>
  <w:p>
    <w:pPr>
      <w:pStyle w:val="Header"/>
      <w:jc w:val="end"/>
      <w:rPr>
        <w:rStyle w:val="PageNumber"/>
        <w:rFonts w:ascii="Arial" w:hAnsi="Arial" w:cs="Arial"/>
        <w:sz w:val="1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N)" w:hAnsi="Univers (WN)" w:eastAsia="Times New Roman" w:cs="Univers (W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2"/>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Indent"/>
    <w:qFormat/>
    <w:pPr>
      <w:numPr>
        <w:ilvl w:val="2"/>
        <w:numId w:val="1"/>
      </w:numPr>
      <w:ind w:hanging="0" w:start="360" w:end="0"/>
      <w:outlineLvl w:val="2"/>
    </w:pPr>
    <w:rPr>
      <w:rFonts w:ascii="CG Times (WN);Arial" w:hAnsi="CG Times (WN);Arial" w:cs="CG Times (WN);Arial"/>
      <w:b/>
    </w:rPr>
  </w:style>
  <w:style w:type="paragraph" w:styleId="Heading4">
    <w:name w:val="heading 4"/>
    <w:basedOn w:val="Normal"/>
    <w:next w:val="Normal"/>
    <w:qFormat/>
    <w:pPr>
      <w:keepNext w:val="true"/>
      <w:numPr>
        <w:ilvl w:val="3"/>
        <w:numId w:val="1"/>
      </w:numPr>
      <w:outlineLvl w:val="3"/>
    </w:pPr>
    <w:rPr>
      <w:rFonts w:ascii="Arial" w:hAnsi="Arial" w:cs="Arial"/>
      <w:sz w:val="21"/>
      <w:u w:val="single"/>
    </w:rPr>
  </w:style>
  <w:style w:type="paragraph" w:styleId="Heading5">
    <w:name w:val="heading 5"/>
    <w:basedOn w:val="Normal"/>
    <w:next w:val="Normal"/>
    <w:qFormat/>
    <w:pPr>
      <w:keepNext w:val="true"/>
      <w:numPr>
        <w:ilvl w:val="4"/>
        <w:numId w:val="1"/>
      </w:numPr>
      <w:outlineLvl w:val="4"/>
    </w:pPr>
    <w:rPr>
      <w:rFonts w:ascii="Arial" w:hAnsi="Arial" w:cs="Arial"/>
      <w:b/>
      <w:i/>
      <w:sz w:val="20"/>
      <w:u w:val="single"/>
    </w:rPr>
  </w:style>
  <w:style w:type="paragraph" w:styleId="Heading6">
    <w:name w:val="heading 6"/>
    <w:basedOn w:val="Normal"/>
    <w:next w:val="Normal"/>
    <w:qFormat/>
    <w:pPr>
      <w:keepNext w:val="true"/>
      <w:numPr>
        <w:ilvl w:val="5"/>
        <w:numId w:val="1"/>
      </w:numPr>
      <w:outlineLvl w:val="5"/>
    </w:pPr>
    <w:rPr>
      <w:rFonts w:ascii="Arial" w:hAnsi="Arial" w:cs="Arial"/>
      <w:i/>
      <w:sz w:val="20"/>
    </w:rPr>
  </w:style>
  <w:style w:type="paragraph" w:styleId="Heading7">
    <w:name w:val="heading 7"/>
    <w:basedOn w:val="Normal"/>
    <w:next w:val="Normal"/>
    <w:qFormat/>
    <w:pPr>
      <w:keepNext w:val="true"/>
      <w:numPr>
        <w:ilvl w:val="6"/>
        <w:numId w:val="1"/>
      </w:numPr>
      <w:jc w:val="end"/>
      <w:outlineLvl w:val="6"/>
    </w:pPr>
    <w:rPr>
      <w:rFonts w:ascii="Arial" w:hAnsi="Arial" w:cs="Arial"/>
      <w:b/>
      <w:sz w:val="2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rFonts w:ascii="Arial" w:hAnsi="Arial" w:cs="Arial"/>
      <w:b/>
      <w:sz w:val="20"/>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PCKLetter.dot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2000-11-24T17:27:00Z</dcterms:created>
  <dc:creator>scrawfo3</dc:creator>
  <dc:description/>
  <dc:language>en-CA</dc:language>
  <cp:lastModifiedBy>scrawfo3</cp:lastModifiedBy>
  <cp:lastPrinted>2000-11-24T13:57:00Z</cp:lastPrinted>
  <dcterms:modified xsi:type="dcterms:W3CDTF">2000-11-24T18:28:00Z</dcterms:modified>
  <cp:revision>7</cp:revision>
  <dc:subject/>
  <dc:title>March 12, 1997</dc:title>
</cp:coreProperties>
</file>