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G Times" w:hAnsi="CG Times" w:eastAsia="CG Times" w:cs="CG Times"/>
          <w:lang w:val="en-US"/>
        </w:rPr>
      </w:pPr>
      <w:r>
        <w:rPr>
          <w:rFonts w:eastAsia="CG Times" w:cs="CG Times" w:ascii="CG Times" w:hAnsi="CG Times"/>
          <w:lang w:val="en-US"/>
        </w:rPr>
        <w:t xml:space="preserve"> </w:t>
      </w:r>
    </w:p>
    <w:p>
      <w:pPr>
        <w:pStyle w:val="Normal"/>
        <w:jc w:val="end"/>
        <w:rPr>
          <w:rFonts w:ascii="CG Times" w:hAnsi="CG Times" w:cs="CG Times"/>
          <w:lang w:val="en-US"/>
        </w:rPr>
      </w:pPr>
      <w:r>
        <w:rPr>
          <w:rFonts w:cs="CG Times" w:ascii="CG Times" w:hAnsi="CG Times"/>
          <w:lang w:val="en-US"/>
        </w:rPr>
      </w:r>
    </w:p>
    <w:p>
      <w:pPr>
        <w:pStyle w:val="Heading1"/>
        <w:ind w:hanging="0" w:start="0"/>
        <w:rPr>
          <w:sz w:val="24"/>
          <w:lang w:val="en-US"/>
        </w:rPr>
      </w:pPr>
      <w:r>
        <w:rPr>
          <w:sz w:val="24"/>
          <w:lang w:val="en-US"/>
        </w:rPr>
        <w:t>Draft for Discussion</w:t>
      </w:r>
    </w:p>
    <w:p>
      <w:pPr>
        <w:pStyle w:val="Heading1"/>
        <w:ind w:hanging="0" w:start="720" w:end="0"/>
        <w:rPr>
          <w:sz w:val="24"/>
          <w:lang w:val="en-US"/>
        </w:rPr>
      </w:pPr>
      <w:r>
        <w:rPr>
          <w:sz w:val="24"/>
          <w:lang w:val="en-US"/>
        </w:rPr>
        <w:t>April 8, 1999</w:t>
      </w:r>
    </w:p>
    <w:p>
      <w:pPr>
        <w:pStyle w:val="Normal"/>
        <w:rPr>
          <w:rFonts w:ascii="CG Times" w:hAnsi="CG Times" w:cs="CG Times"/>
          <w:sz w:val="24"/>
          <w:lang w:val="en-US"/>
        </w:rPr>
      </w:pPr>
      <w:r>
        <w:rPr>
          <w:rFonts w:cs="CG Times" w:ascii="CG Times" w:hAnsi="CG Times"/>
          <w:sz w:val="24"/>
          <w:lang w:val="en-US"/>
        </w:rPr>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BodyText"/>
        <w:rPr>
          <w:lang w:val="en-US"/>
        </w:rPr>
      </w:pPr>
      <w:r>
        <w:rPr>
          <w:lang w:val="en-US"/>
        </w:rPr>
        <w:t>POWER PURCHASE AGREEMENT</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This Agreement is made and entered into by and between, of the one side,</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ab/>
      </w:r>
      <w:r>
        <w:rPr>
          <w:rFonts w:cs="CG Times" w:ascii="CG Times" w:hAnsi="CG Times"/>
          <w:b/>
          <w:lang w:val="en-US"/>
        </w:rPr>
        <w:t>EPB - ENERGIA PAN BRASIL LTDA.</w:t>
      </w:r>
      <w:r>
        <w:rPr>
          <w:rFonts w:cs="CG Times" w:ascii="CG Times" w:hAnsi="CG Times"/>
          <w:lang w:val="en-US"/>
        </w:rPr>
        <w:t>, electrical energy marketer, duly authorized by Agência Nacional de Energia Elétrica – ANEEL, under the terms of Resolution No. 265, of August 13, 1998 and Resolution No. 001, of January 6, 1999, with principal offices in the City of São Paulo, at Avenida das Nações, 11,541, 7</w:t>
      </w:r>
      <w:r>
        <w:rPr>
          <w:rFonts w:cs="CG Times" w:ascii="CG Times" w:hAnsi="CG Times"/>
          <w:vertAlign w:val="superscript"/>
          <w:lang w:val="en-US"/>
        </w:rPr>
        <w:t>th</w:t>
      </w:r>
      <w:r>
        <w:rPr>
          <w:rFonts w:cs="CG Times" w:ascii="CG Times" w:hAnsi="CG Times"/>
          <w:lang w:val="en-US"/>
        </w:rPr>
        <w:t xml:space="preserve"> floor, suite 20, enrolled with the Corporate Taxpayers Registry of the Ministry of Finance under No. 02.754.177/0001-09, hereinafter referred to as “MARKETER”;</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jc w:val="center"/>
        <w:rPr>
          <w:rFonts w:ascii="CG Times" w:hAnsi="CG Times" w:cs="CG Times"/>
          <w:lang w:val="en-US"/>
        </w:rPr>
      </w:pPr>
      <w:r>
        <w:rPr>
          <w:rFonts w:cs="CG Times" w:ascii="CG Times" w:hAnsi="CG Times"/>
          <w:lang w:val="en-US"/>
        </w:rPr>
        <w:t>and, of the other side,</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ab/>
      </w:r>
      <w:r>
        <w:rPr>
          <w:rFonts w:cs="CG Times" w:ascii="CG Times" w:hAnsi="CG Times"/>
          <w:b/>
          <w:lang w:val="en-US"/>
        </w:rPr>
        <w:t>CARBOCLORO OXYPAR INDÚSTRIAS QUÍMICAS S.A.</w:t>
      </w:r>
      <w:r>
        <w:rPr>
          <w:rFonts w:cs="CG Times" w:ascii="CG Times" w:hAnsi="CG Times"/>
          <w:lang w:val="en-US"/>
        </w:rPr>
        <w:t>, corporation, with principal offices in the City of São Paulo, State of São Paulo, at Avenida Juscelino Kubitscheck, 1830, Tower 3, 4</w:t>
      </w:r>
      <w:r>
        <w:rPr>
          <w:rFonts w:cs="CG Times" w:ascii="CG Times" w:hAnsi="CG Times"/>
          <w:vertAlign w:val="superscript"/>
          <w:lang w:val="en-US"/>
        </w:rPr>
        <w:t>th</w:t>
      </w:r>
      <w:r>
        <w:rPr>
          <w:rFonts w:cs="CG Times" w:ascii="CG Times" w:hAnsi="CG Times"/>
          <w:lang w:val="en-US"/>
        </w:rPr>
        <w:t xml:space="preserve"> floor, enrolled with the Corporate Taxpayers Registry of the Ministry of Finance under No. [...], hereinafter referred to as “PURCHASER”;</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BodyText"/>
        <w:rPr>
          <w:lang w:val="en-US"/>
        </w:rPr>
      </w:pPr>
      <w:r>
        <w:rPr>
          <w:lang w:val="en-US"/>
        </w:rPr>
        <w:t>WHEREAS: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(A)</w:t>
        <w:tab/>
        <w:t>MARKETER is a trader of electric energy duly authorized by ANEEL to run its activities;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(B)</w:t>
        <w:tab/>
        <w:t>PURCHASER qualifies, under the applicable legislation and regulations in force, as a free consumer, and may purchase from MARKETER the electric energy necessary for running its activities in the industrialization process;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MARKETER has contractual rights relating to the availability in the short term of certain amounts of electric energy for resale to ultimate consumers, the supply of which is of an interruptible and not firm nature;</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(C)</w:t>
        <w:tab/>
        <w:t>PURCHASER is willing to purchase from MARKETER, during the term mentioned herein, the amount of electric energy offered by MARKETER, the supply of which is interruptible and not firm;</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(D)</w:t>
        <w:tab/>
        <w:t>MARKETER and PURCHASER intend to reflect herein the terms and conditions applicable to the purchase and sale of electric energy;</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NOW, THEREFORE, the Parties hereby agree as follows:</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First Clause</w:t>
      </w:r>
      <w:r>
        <w:rPr>
          <w:rFonts w:cs="CG Times" w:ascii="CG Times" w:hAnsi="CG Times"/>
          <w:lang w:val="en-US"/>
        </w:rPr>
        <w:t xml:space="preserve"> – The capitalized terms used herein shall have the meanings ascribed to them below:</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(a)</w:t>
        <w:tab/>
      </w:r>
      <w:r>
        <w:rPr>
          <w:rFonts w:cs="CG Times" w:ascii="CG Times" w:hAnsi="CG Times"/>
          <w:b/>
          <w:i/>
          <w:lang w:val="en-US"/>
        </w:rPr>
        <w:t>Agreement</w:t>
      </w:r>
      <w:r>
        <w:rPr>
          <w:rFonts w:cs="CG Times" w:ascii="CG Times" w:hAnsi="CG Times"/>
          <w:lang w:val="en-US"/>
        </w:rPr>
        <w:t xml:space="preserve"> - </w:t>
        <w:tab/>
        <w:t>shall mean this Power Purchase Agreement between MARKETER and PURCHASER.</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(b)</w:t>
        <w:tab/>
      </w:r>
      <w:r>
        <w:rPr>
          <w:rFonts w:cs="CG Times" w:ascii="CG Times" w:hAnsi="CG Times"/>
          <w:b/>
          <w:i/>
          <w:lang w:val="en-US"/>
        </w:rPr>
        <w:t xml:space="preserve">Agreement of Connection to the Grid </w:t>
      </w:r>
      <w:r>
        <w:rPr>
          <w:rFonts w:cs="CG Times" w:ascii="CG Times" w:hAnsi="CG Times"/>
          <w:lang w:val="en-US"/>
        </w:rPr>
        <w:t>- shall have the same meaning mentioned in Annex I to Ordinance (</w:t>
      </w:r>
      <w:r>
        <w:rPr>
          <w:rFonts w:cs="CG Times" w:ascii="CG Times" w:hAnsi="CG Times"/>
          <w:i/>
          <w:lang w:val="en-US"/>
        </w:rPr>
        <w:t>Portaria</w:t>
      </w:r>
      <w:r>
        <w:rPr>
          <w:rFonts w:cs="CG Times" w:ascii="CG Times" w:hAnsi="CG Times"/>
          <w:lang w:val="en-US"/>
        </w:rPr>
        <w:t>) No. 459, of November 10, 1997.</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(c)</w:t>
        <w:tab/>
      </w:r>
      <w:r>
        <w:rPr>
          <w:rFonts w:cs="CG Times" w:ascii="CG Times" w:hAnsi="CG Times"/>
          <w:b/>
          <w:i/>
          <w:lang w:val="en-US"/>
        </w:rPr>
        <w:t>Agreement of Use of the Transmission System</w:t>
      </w:r>
      <w:r>
        <w:rPr>
          <w:rFonts w:cs="CG Times" w:ascii="CG Times" w:hAnsi="CG Times"/>
          <w:lang w:val="en-US"/>
        </w:rPr>
        <w:t xml:space="preserve"> - </w:t>
        <w:tab/>
        <w:t>shall have the same meaning mentioned in Annex I to Ordinance (</w:t>
      </w:r>
      <w:r>
        <w:rPr>
          <w:rFonts w:cs="CG Times" w:ascii="CG Times" w:hAnsi="CG Times"/>
          <w:i/>
          <w:lang w:val="en-US"/>
        </w:rPr>
        <w:t>Portaria</w:t>
      </w:r>
      <w:r>
        <w:rPr>
          <w:rFonts w:cs="CG Times" w:ascii="CG Times" w:hAnsi="CG Times"/>
          <w:lang w:val="en-US"/>
        </w:rPr>
        <w:t>) No. 459, of November 10, 1997.</w:t>
      </w:r>
    </w:p>
    <w:p>
      <w:pPr>
        <w:pStyle w:val="Normal"/>
        <w:rPr>
          <w:rFonts w:ascii="CG Times" w:hAnsi="CG Times" w:cs="CG Times"/>
          <w:lang w:val="en-US"/>
        </w:rPr>
      </w:pPr>
      <w:r>
        <w:rPr>
          <w:rFonts w:cs="CG Times" w:ascii="CG Times" w:hAnsi="CG Times"/>
          <w:lang w:val="en-US"/>
        </w:rPr>
      </w:r>
    </w:p>
    <w:p>
      <w:pPr>
        <w:pStyle w:val="Normal"/>
        <w:ind w:firstLine="720" w:end="0"/>
        <w:rPr/>
      </w:pPr>
      <w:r>
        <w:rPr>
          <w:rFonts w:cs="CG Times" w:ascii="CG Times" w:hAnsi="CG Times"/>
          <w:lang w:val="en-US"/>
        </w:rPr>
        <w:t>(d)</w:t>
        <w:tab/>
      </w:r>
      <w:r>
        <w:rPr>
          <w:rFonts w:cs="CG Times" w:ascii="CG Times" w:hAnsi="CG Times"/>
          <w:b/>
          <w:i/>
          <w:lang w:val="en-US"/>
        </w:rPr>
        <w:t>Delivery Point</w:t>
      </w:r>
      <w:r>
        <w:rPr>
          <w:rFonts w:cs="CG Times" w:ascii="CG Times" w:hAnsi="CG Times"/>
          <w:lang w:val="en-US"/>
        </w:rPr>
        <w:t xml:space="preserve"> – shall mean the delivery point of Electric Energy by MARKETER to PURCHASER in compliance with its contractual obligations. For the purposes of this Agreement, the Delivery Point is specified in the Sole Annex hereto.  Any expenses incurred in connection with the operation or facilities after the Delivery Point shall be incumbent upon MARKETER</w:t>
      </w:r>
    </w:p>
    <w:p>
      <w:pPr>
        <w:pStyle w:val="Normal"/>
        <w:ind w:firstLine="720" w:end="0"/>
        <w:rPr>
          <w:rFonts w:ascii="CG Times" w:hAnsi="CG Times" w:cs="CG Times"/>
          <w:lang w:val="en-US"/>
        </w:rPr>
      </w:pPr>
      <w:r>
        <w:rPr>
          <w:rFonts w:cs="CG Times" w:ascii="CG Times" w:hAnsi="CG Times"/>
          <w:lang w:val="en-US"/>
        </w:rPr>
      </w:r>
    </w:p>
    <w:p>
      <w:pPr>
        <w:pStyle w:val="Normal"/>
        <w:ind w:firstLine="720" w:end="0"/>
        <w:rPr/>
      </w:pPr>
      <w:r>
        <w:rPr>
          <w:rFonts w:cs="CG Times" w:ascii="CG Times" w:hAnsi="CG Times"/>
          <w:lang w:val="en-US"/>
        </w:rPr>
        <w:t>(e)</w:t>
        <w:tab/>
      </w:r>
      <w:r>
        <w:rPr>
          <w:rFonts w:cs="CG Times" w:ascii="CG Times" w:hAnsi="CG Times"/>
          <w:b/>
          <w:i/>
          <w:lang w:val="en-US"/>
        </w:rPr>
        <w:t>Distributor</w:t>
      </w:r>
      <w:r>
        <w:rPr>
          <w:rFonts w:cs="CG Times" w:ascii="CG Times" w:hAnsi="CG Times"/>
          <w:lang w:val="en-US"/>
        </w:rPr>
        <w:t xml:space="preserve"> - </w:t>
        <w:tab/>
        <w:t>shall mean the electric energy distribution concessionaire to which PURCHASER is bound and from which it purchases electric energy for satisfying its energy necessities.</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(f)</w:t>
        <w:tab/>
      </w:r>
      <w:r>
        <w:rPr>
          <w:rFonts w:cs="CG Times" w:ascii="CG Times" w:hAnsi="CG Times"/>
          <w:b/>
          <w:i/>
          <w:lang w:val="en-US"/>
        </w:rPr>
        <w:t>Electric Energy</w:t>
      </w:r>
      <w:r>
        <w:rPr>
          <w:rFonts w:cs="CG Times" w:ascii="CG Times" w:hAnsi="CG Times"/>
          <w:lang w:val="en-US"/>
        </w:rPr>
        <w:t xml:space="preserve"> – shall mean the amount of electric energy, expressed in MWh, to be sold by MARKETER to PURCHASER, under the terms of this Agreement; the amount of electric energy contracted shall range from a minimum of 0MWh to a maximum of 3MWh, due to the not firm and interruptible nature of its supply.</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(g)</w:t>
        <w:tab/>
      </w:r>
      <w:r>
        <w:rPr>
          <w:rFonts w:cs="CG Times" w:ascii="CG Times" w:hAnsi="CG Times"/>
          <w:b/>
          <w:i/>
          <w:lang w:val="en-US"/>
        </w:rPr>
        <w:t>Force Majeure</w:t>
      </w:r>
      <w:r>
        <w:rPr>
          <w:rFonts w:cs="CG Times" w:ascii="CG Times" w:hAnsi="CG Times"/>
          <w:lang w:val="en-US"/>
        </w:rPr>
        <w:t xml:space="preserve"> – shall mean any event that may occur, during the term hereof, and which qualifies as a force majeure event under the definition contained in the sole paragraph of article 1,058, of the Brazilian Civil Code.</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lang w:val="en-US"/>
        </w:rPr>
        <w:tab/>
        <w:t>(h)</w:t>
        <w:tab/>
      </w:r>
      <w:r>
        <w:rPr>
          <w:rFonts w:cs="CG Times" w:ascii="CG Times" w:hAnsi="CG Times"/>
          <w:b/>
          <w:i/>
          <w:lang w:val="en-US"/>
        </w:rPr>
        <w:t>Grid</w:t>
      </w:r>
      <w:r>
        <w:rPr>
          <w:rFonts w:cs="CG Times" w:ascii="CG Times" w:hAnsi="CG Times"/>
          <w:lang w:val="en-US"/>
        </w:rPr>
        <w:t xml:space="preserve"> – shall have the meaning mentioned in Annex I to Ordinance (</w:t>
      </w:r>
      <w:r>
        <w:rPr>
          <w:rFonts w:cs="CG Times" w:ascii="CG Times" w:hAnsi="CG Times"/>
          <w:i/>
          <w:lang w:val="en-US"/>
        </w:rPr>
        <w:t>Portaria</w:t>
      </w:r>
      <w:r>
        <w:rPr>
          <w:rFonts w:cs="CG Times" w:ascii="CG Times" w:hAnsi="CG Times"/>
          <w:lang w:val="en-US"/>
        </w:rPr>
        <w:t>) No. 459, of November 10, 1997.</w:t>
      </w:r>
    </w:p>
    <w:p>
      <w:pPr>
        <w:pStyle w:val="Normal"/>
        <w:rPr>
          <w:rFonts w:ascii="CG Times" w:hAnsi="CG Times" w:cs="CG Times"/>
          <w:b/>
          <w:u w:val="single"/>
          <w:lang w:val="en-US"/>
        </w:rPr>
      </w:pPr>
      <w:r>
        <w:rPr>
          <w:rFonts w:cs="CG Times" w:ascii="CG Times" w:hAnsi="CG Times"/>
          <w:b/>
          <w:u w:val="single"/>
          <w:lang w:val="en-US"/>
        </w:rPr>
      </w:r>
    </w:p>
    <w:p>
      <w:pPr>
        <w:pStyle w:val="Normal"/>
        <w:rPr/>
      </w:pPr>
      <w:r>
        <w:rPr>
          <w:rFonts w:cs="CG Times" w:ascii="CG Times" w:hAnsi="CG Times"/>
          <w:b/>
          <w:u w:val="single"/>
          <w:lang w:val="en-US"/>
        </w:rPr>
        <w:t>Second Clause</w:t>
      </w:r>
      <w:r>
        <w:rPr>
          <w:rFonts w:cs="CG Times" w:ascii="CG Times" w:hAnsi="CG Times"/>
          <w:lang w:val="en-US"/>
        </w:rPr>
        <w:t xml:space="preserve"> - </w:t>
        <w:tab/>
        <w:t>MARKETER hereby undertakes, under the terms and conditions set forth herein, to supply PURCHASER, during the term hereof, with Electric Energy and, to the extent available and as agreed between the Parties, Additional Electric Energy, to be used in the PURCHASER´s industrialization operations.</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Third Clause</w:t>
      </w:r>
      <w:r>
        <w:rPr>
          <w:rFonts w:cs="CG Times" w:ascii="CG Times" w:hAnsi="CG Times"/>
          <w:lang w:val="en-US"/>
        </w:rPr>
        <w:t xml:space="preserve"> - </w:t>
        <w:tab/>
        <w:t>The supply by MARKETER to PURCHASER of Electric Energy has the characteristics described in the Sole Annex hereto, it being hereby agreed that the title to the Electric Energy shall be transferred by MARKETER to PURCHASER at the Delivery Point. PURCHASER shall be exclusively responsible for any costs or charges imposed on it by law or any regulations, as well as any costs and charges associated with transmission losses and inherent in operation from the Delivery Point. Each of the Parties expressly agrees and undertakes to indemnify and hold harmless the other Party from any claims arising from any act or incident occurring when title to the Electric Energy is vested in the indemnifying Party.</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Fourth Clause</w:t>
      </w:r>
      <w:r>
        <w:rPr>
          <w:rFonts w:cs="CG Times" w:ascii="CG Times" w:hAnsi="CG Times"/>
          <w:lang w:val="en-US"/>
        </w:rPr>
        <w:t xml:space="preserve"> - </w:t>
        <w:tab/>
        <w:t>PURCHASER expressly acknowledges that, as provided for in Ordinance (</w:t>
      </w:r>
      <w:r>
        <w:rPr>
          <w:rFonts w:cs="CG Times" w:ascii="CG Times" w:hAnsi="CG Times"/>
          <w:i/>
          <w:lang w:val="en-US"/>
        </w:rPr>
        <w:t>Portaria</w:t>
      </w:r>
      <w:r>
        <w:rPr>
          <w:rFonts w:cs="CG Times" w:ascii="CG Times" w:hAnsi="CG Times"/>
          <w:lang w:val="en-US"/>
        </w:rPr>
        <w:t>) No. 459/97, Transco, Distributor, PURCHASER and the supplier of the Electric Energy shall enter into an Agreement of Use of Transmission System, and an Agreement of Connection to the Grid, with the intervention of the Coordinating Group of Interconnected Operation - GCOI or the Independent System Operator – ISO, and subject to the approval of Agência Nacional de Energia Elétrica - ANEEL.  It is hereby expressly understood and accepted that it shall be exclusively incumbent upon MARKETER to negotiate the necessary access to the Grid with the GCOI or with the ISO, as the case may be, bearing all related costs.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Sole Paragraph</w:t>
      </w:r>
      <w:r>
        <w:rPr>
          <w:rFonts w:cs="CG Times" w:ascii="CG Times" w:hAnsi="CG Times"/>
          <w:lang w:val="en-US"/>
        </w:rPr>
        <w:t xml:space="preserve"> - </w:t>
        <w:tab/>
        <w:t xml:space="preserve">For the purpose of the performance of MARKETER´s obligation undertaken under the terms of the </w:t>
      </w:r>
      <w:r>
        <w:rPr>
          <w:rFonts w:cs="CG Times" w:ascii="CG Times" w:hAnsi="CG Times"/>
          <w:i/>
          <w:lang w:val="en-US"/>
        </w:rPr>
        <w:t>caput</w:t>
      </w:r>
      <w:r>
        <w:rPr>
          <w:rFonts w:cs="CG Times" w:ascii="CG Times" w:hAnsi="CG Times"/>
          <w:lang w:val="en-US"/>
        </w:rPr>
        <w:t xml:space="preserve"> of this Clause, PURCHASER hereby grants to MARKETER, as provided for in article 1,317, II of the Brazilian Civil Code, the most ample and unlimited powers to negotiate, in its name, the access to and the use of the Grid with the GCOI or the ISO, as the case may be, and other involved parties, MARKETER being authorized to perform any and all acts necessary to the performance of this power-of-attorney, including, without limitation, the execution of any agreements and other arrangements necessary or required by GCOI or ISO.</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Fifth Clause</w:t>
      </w:r>
      <w:r>
        <w:rPr>
          <w:rFonts w:cs="CG Times" w:ascii="CG Times" w:hAnsi="CG Times"/>
          <w:lang w:val="en-US"/>
        </w:rPr>
        <w:t xml:space="preserve"> - </w:t>
        <w:tab/>
        <w:t xml:space="preserve">It shall be exclusively incumbent upon PURCHASER to maintain its facilities associated with the connection to the Distributor’s Grid in perfect operating and maintenance conditions, in order to make the supply viable.  Upon the occurrence of any event that may impede the supply in any manner, PURCHASER shall serve a written notice to MARKETER as soon as practicable.  In this case MARKETER shall have the option to suggest technical measures and solutions designed to eliminate the impediment, as well as to verify </w:t>
      </w:r>
      <w:r>
        <w:rPr>
          <w:rFonts w:cs="CG Times" w:ascii="CG Times" w:hAnsi="CG Times"/>
          <w:i/>
          <w:lang w:val="en-US"/>
        </w:rPr>
        <w:t>in loco</w:t>
      </w:r>
      <w:r>
        <w:rPr>
          <w:rFonts w:cs="CG Times" w:ascii="CG Times" w:hAnsi="CG Times"/>
          <w:lang w:val="en-US"/>
        </w:rPr>
        <w:t xml:space="preserve"> the conditions of the connection point.</w:t>
      </w:r>
    </w:p>
    <w:p>
      <w:pPr>
        <w:pStyle w:val="Normal"/>
        <w:rPr>
          <w:rFonts w:ascii="CG Times" w:hAnsi="CG Times" w:cs="CG Times"/>
          <w:b/>
          <w:u w:val="single"/>
          <w:lang w:val="en-US"/>
        </w:rPr>
      </w:pPr>
      <w:r>
        <w:rPr>
          <w:rFonts w:cs="CG Times" w:ascii="CG Times" w:hAnsi="CG Times"/>
          <w:b/>
          <w:u w:val="single"/>
          <w:lang w:val="en-US"/>
        </w:rPr>
      </w:r>
    </w:p>
    <w:p>
      <w:pPr>
        <w:pStyle w:val="Normal"/>
        <w:rPr/>
      </w:pPr>
      <w:r>
        <w:rPr>
          <w:rFonts w:cs="CG Times" w:ascii="CG Times" w:hAnsi="CG Times"/>
          <w:b/>
          <w:u w:val="single"/>
          <w:lang w:val="en-US"/>
        </w:rPr>
        <w:t>Sixth Clause</w:t>
      </w:r>
      <w:r>
        <w:rPr>
          <w:rFonts w:cs="CG Times" w:ascii="CG Times" w:hAnsi="CG Times"/>
          <w:lang w:val="en-US"/>
        </w:rPr>
        <w:t xml:space="preserve"> - </w:t>
        <w:tab/>
        <w:t>PURCHASER expressly acknowledges that the metering of electric energy supplied to it, including the Electric Energy, shall be exclusively incumbent upon the Distributor, and that the Distributor’s metering system does not allow the segregation of the Electric Energy supplied by MARKETER to PURCHASER.  MARKETER undertakes to define jointly with the Distributor, the procedure for segregating the amount of Electric Energy supplied during the term hereof.</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 xml:space="preserve">Seventh Clause </w:t>
      </w:r>
      <w:r>
        <w:rPr>
          <w:rFonts w:cs="CG Times" w:ascii="CG Times" w:hAnsi="CG Times"/>
          <w:lang w:val="en-US"/>
        </w:rPr>
        <w:t xml:space="preserve">- </w:t>
        <w:tab/>
        <w:t>If at any time during the term hereof MARKETER fails to supply the amount of Electric Energy by reason of a motive attributable to PURCHASER, PURCHASER shall not be released from its obligation to pay to MARKETER the total amount of Electric Energy that, in pursuance with the MARKETER´s metering records, should have been supplied if no impediment existed, in the form and under the terms established contractually, especially the applicable price per MWh. The Parties hereby expressly acknowledge and accept that the payments provided for in this Clause are the only indemnification payments they are authorized to claim upon the occurrence of the events mentioned herein, and expressly waive any other remedies to which they may be entitled under the legislation in force.</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Eighth Clause</w:t>
      </w:r>
      <w:r>
        <w:rPr>
          <w:rFonts w:cs="CG Times" w:ascii="CG Times" w:hAnsi="CG Times"/>
          <w:lang w:val="en-US"/>
        </w:rPr>
        <w:t xml:space="preserve"> - </w:t>
        <w:tab/>
        <w:t xml:space="preserve">Until the 5th day subsequent to the metering mentioned in the Sixth Clause of this Agreement, MARKETER shall provide PURCHASER an invoice relating to the amount of Electric Energy supplied in the period, expressed in MWh, and the total amount due. The invoice shall reflect the amount obtained by the multiplication of the amount of MWh supplied by the price agreed per MWh.  Amounts payable shall be paid by deposit or wire transfer to the MARKETER’s bank account indicated below, on or before the [...] day after the invoice was received: </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ab/>
        <w:t>Bank:</w:t>
        <w:tab/>
        <w:tab/>
        <w:tab/>
        <w:t>HSBC – Bamerindus</w:t>
      </w:r>
    </w:p>
    <w:p>
      <w:pPr>
        <w:pStyle w:val="Normal"/>
        <w:rPr>
          <w:rFonts w:ascii="CG Times" w:hAnsi="CG Times" w:cs="CG Times"/>
          <w:lang w:val="en-US"/>
        </w:rPr>
      </w:pPr>
      <w:r>
        <w:rPr>
          <w:rFonts w:cs="CG Times" w:ascii="CG Times" w:hAnsi="CG Times"/>
          <w:lang w:val="en-US"/>
        </w:rPr>
        <w:tab/>
        <w:tab/>
        <w:t>Agency:</w:t>
        <w:tab/>
        <w:tab/>
        <w:t>0454 – Inter Corporativa</w:t>
      </w:r>
    </w:p>
    <w:p>
      <w:pPr>
        <w:pStyle w:val="Normal"/>
        <w:rPr>
          <w:rFonts w:ascii="CG Times" w:hAnsi="CG Times" w:cs="CG Times"/>
          <w:lang w:val="en-US"/>
        </w:rPr>
      </w:pPr>
      <w:r>
        <w:rPr>
          <w:rFonts w:cs="CG Times" w:ascii="CG Times" w:hAnsi="CG Times"/>
          <w:lang w:val="en-US"/>
        </w:rPr>
        <w:tab/>
        <w:tab/>
        <w:t>Account No.</w:t>
        <w:tab/>
        <w:tab/>
        <w:t>00307-94</w:t>
      </w:r>
    </w:p>
    <w:p>
      <w:pPr>
        <w:pStyle w:val="Normal"/>
        <w:rPr>
          <w:rFonts w:ascii="CG Times" w:hAnsi="CG Times" w:cs="CG Times"/>
          <w:lang w:val="en-US"/>
        </w:rPr>
      </w:pPr>
      <w:r>
        <w:rPr>
          <w:rFonts w:cs="CG Times" w:ascii="CG Times" w:hAnsi="CG Times"/>
          <w:lang w:val="en-US"/>
        </w:rPr>
        <w:tab/>
        <w:tab/>
        <w:t>City:</w:t>
        <w:tab/>
        <w:tab/>
        <w:tab/>
        <w:t>São Paulo</w:t>
      </w:r>
    </w:p>
    <w:p>
      <w:pPr>
        <w:pStyle w:val="Normal"/>
        <w:rPr>
          <w:rFonts w:ascii="CG Times" w:hAnsi="CG Times" w:cs="CG Times"/>
          <w:lang w:val="en-US"/>
        </w:rPr>
      </w:pPr>
      <w:r>
        <w:rPr>
          <w:rFonts w:cs="CG Times" w:ascii="CG Times" w:hAnsi="CG Times"/>
          <w:lang w:val="en-US"/>
        </w:rPr>
        <w:tab/>
        <w:tab/>
        <w:t>Responsible:</w:t>
        <w:tab/>
        <w:tab/>
        <w:t>Plínio Prado; Phone (011) 5503-1399</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PURCHASER shall send a copy of each wire transfer receipt to MARKETER.</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Ninth Clause</w:t>
      </w:r>
      <w:r>
        <w:rPr>
          <w:rFonts w:cs="CG Times" w:ascii="CG Times" w:hAnsi="CG Times"/>
          <w:lang w:val="en-US"/>
        </w:rPr>
        <w:t xml:space="preserve"> - </w:t>
        <w:tab/>
        <w:t>Should there exist, with respect to any invoice, undisputed amounts and amounts which liquidity and certainty is being disputed by PURCHASER, the PURCHASER shall pay the undisputed amounts when due, under penalty of the failure to pay that amounts being characterized as a default by PURCHASER.  Once the dispute is settled, PURCHASER shall pay, within a maximum of 5 days from the date the Parties reached agreement, the relevant balance plus interest at the rate of 1% per month, accrued from the due date of the respective invoice until the date of its actual payment.</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Tenth Clause</w:t>
      </w:r>
      <w:r>
        <w:rPr>
          <w:rFonts w:cs="CG Times" w:ascii="CG Times" w:hAnsi="CG Times"/>
          <w:lang w:val="en-US"/>
        </w:rPr>
        <w:t xml:space="preserve"> - </w:t>
        <w:tab/>
        <w:t>If on the due date of an invoice PURCHASER has a credit of any undisputed amounts against MARKETER, as provided for hereunder, then PURCHASER shall effect the payment of the balance outstanding after the relevant offset of credits and debts, provided that PURCHASER serves a written notice to MARKETER on its intention to do so within the 24 hours subsequent to the receipt of the relevant invoice.</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 xml:space="preserve">Eleventh Clause </w:t>
      </w:r>
      <w:r>
        <w:rPr>
          <w:rFonts w:cs="CG Times" w:ascii="CG Times" w:hAnsi="CG Times"/>
          <w:lang w:val="en-US"/>
        </w:rPr>
        <w:t xml:space="preserve">- </w:t>
        <w:tab/>
        <w:t>PURCHASER, by MARKETER’s requirement and without releasing MARKETER of its obligations under the Fourth Clause above, but aiming at ensuring the supply hereby contracted, shall endeavor its best efforts to ensure the cooperation of the Distributor for the settlement of any issues relating to the Agreement of Use of the Transmission System and the Agreement of Connection to the Grid.</w:t>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Twelfth Clause</w:t>
      </w:r>
      <w:r>
        <w:rPr>
          <w:rFonts w:cs="CG Times" w:ascii="CG Times" w:hAnsi="CG Times"/>
          <w:lang w:val="en-US"/>
        </w:rPr>
        <w:t xml:space="preserve"> - </w:t>
        <w:tab/>
        <w:t>Each of the Parties hereby expressly represents and warrants that (i) its has all corporate power necessary for the performance of its obligations hereunder, (ii) the execution of this Agreement does not violate any contracts, obligations or administrative or judicial orders, and (iii) the obligations undertaken hereunder are lawful, valid and enforceable according to their respective terms.  MARKETER also represents and warrants to PURCHASER that is has all necessary authorizations issued by Agência Nacional de Energia Elétrica – ANEEL for the performance of its activities as a trader in the electric energy market.  PURCHASER represents and warrants to MARKETER that it qualifies as a free consumer, under the terms of the applicable legislation and regulations in force, and that it will not use the Electric Energy for any other purpose than its own consumption in its industrial premises, and represents further, that the purchase of Electric Energy, as provided for hereunder, is in addition to and not to replace any load supplied by the Distributor.</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BodyText"/>
        <w:jc w:val="start"/>
        <w:rPr/>
      </w:pPr>
      <w:r>
        <w:rPr>
          <w:u w:val="single"/>
          <w:lang w:val="en-US"/>
        </w:rPr>
        <w:t>Thirteenth Clause</w:t>
      </w:r>
      <w:r>
        <w:rPr>
          <w:b w:val="false"/>
          <w:lang w:val="en-US"/>
        </w:rPr>
        <w:t xml:space="preserve"> - </w:t>
        <w:tab/>
        <w:t xml:space="preserve">An event of default shall mean with respect to a Party any of the following: (i) the failure by the defaulting party to make, when due and in the form agreed, any payment due to the other Party under the terms hereof if such failure such failure is not remedied within the 5-day period subsequent to the receipt of the notice given to the defaulting party, or (ii) the institution, with respect to the defaulting party, of a bankruptcy, </w:t>
      </w:r>
      <w:r>
        <w:rPr>
          <w:b w:val="false"/>
          <w:i/>
          <w:lang w:val="en-US"/>
        </w:rPr>
        <w:t xml:space="preserve">concordata  </w:t>
      </w:r>
      <w:r>
        <w:rPr>
          <w:b w:val="false"/>
          <w:lang w:val="en-US"/>
        </w:rPr>
        <w:t>or similar insolvency proceeding or other relief under any bankruptcy or insolvency law affecting creditors' rights or a petition is presented or instituted for its liquidation. If an Event of Default shall have occurred and shall be continuing, the non-defaulting Party may, in its sole discretion, and provided that it designates a date for the termination of the Agreement in a notice to the defaulting Party, declare the Agreement early terminated  and withhold any payments due in respect of the terminated transactions under the terms of the Agreement and due to which the default has occurred. Upon the early termination of the Agreement, the non-defaulting Party shall calculate the amount due by the defaulting Party and notify the Defaulting Party, in written, of the amount owed, establishing a term for its payment.  The amount so calculated shall accrue interest at the rate of 1% per month, from the early termination date until the date of its actual payment.  In the calculation of the amount due by virtue of the early termination, the defaulting Party shall pay the non-defaulting Party a contractual fine calculated at the rate of 10% over the amount then due.</w:t>
      </w:r>
    </w:p>
    <w:p>
      <w:pPr>
        <w:pStyle w:val="BodyText"/>
        <w:jc w:val="start"/>
        <w:rPr>
          <w:b w:val="false"/>
          <w:lang w:val="en-US"/>
        </w:rPr>
      </w:pPr>
      <w:r>
        <w:rPr>
          <w:b w:val="false"/>
          <w:lang w:val="en-US"/>
        </w:rPr>
      </w:r>
    </w:p>
    <w:p>
      <w:pPr>
        <w:pStyle w:val="BodyText"/>
        <w:jc w:val="start"/>
        <w:rPr>
          <w:b w:val="false"/>
          <w:lang w:val="en-US"/>
        </w:rPr>
      </w:pPr>
      <w:r>
        <w:rPr>
          <w:b w:val="false"/>
          <w:lang w:val="en-US"/>
        </w:rPr>
      </w:r>
    </w:p>
    <w:p>
      <w:pPr>
        <w:pStyle w:val="BodyText"/>
        <w:jc w:val="start"/>
        <w:rPr/>
      </w:pPr>
      <w:r>
        <w:rPr>
          <w:u w:val="single"/>
          <w:lang w:val="en-US"/>
        </w:rPr>
        <w:t>Fourteenth Clause</w:t>
      </w:r>
      <w:r>
        <w:rPr>
          <w:b w:val="false"/>
          <w:lang w:val="en-US"/>
        </w:rPr>
        <w:t xml:space="preserve"> - If either Party is rendered unable by a Force Majeure to carry out any of its obligations under this Agreement, such Party shall immediately serve a written notice to the other Party, and such notice shall contain full details of the event and of its compliance with the sole paragraph of article 1,058 of the Brazilian Civil Code, providing the best estimate duration of the impediment alleged. In that case, during the pendency of such Force Majeure but for no longer period, the obligations of the Party affected by the event (other than the obligation to make payments then due or becoming due with respect to performance prior to the event) shall be suspended to the extent required..  In addition, during the estimated duration of the effects of the event of Force Majeure, as notified by the claiming Party to the other, the claiming Party shall not be required to resume its obligations to the other only with respect to the obligations which the claiming Party has claimed is subject to Force Majeure.  Notwithstanding the foregoing, as soon as the Force Majeure or its effects cease prior to the expiration of its estimated duration, the claiming Party shall immediately serve a written notice to the non-claiming Party, who shall have the option to require the claiming Party to resume its obligations under this Agreement as soon as practicable.  The claiming Party shall take, and evidence that it has taken, all the measures available to it to remove the effects of the Force Majeure impairing the performance of its obligations.  If all or part of the Force Majeure continues to exist beyond the estimated duration, then the non-claiming Party may take any action it deems commercially reasonable under the circumstances.  Without limiting the generality of the provisions set in the sole paragraph of article 1,058 of the Brazilian Civil Code, and for exemplification purposes only, a Force Majeure shall be deemed occurred whenever an event that could not be foreseen by the Parties by the time of the execution of this Agreement occurs, and such event is out of control of the claiming Party.  In addition, the Force Majeure shall be characterized whenever the duly proven diligent action taken by the claiming Party is not sufficient for removing the Force Majeure or favors the adoption of an alternate solution commercially reasonable.  In no circumstances whatsoever a Force Majeure shall be deemed to have taken place upon the occurrence of (i) loss of a supply source by MARKETER or the impossibility of MARKETER to obtain, in an economic manner, the Electric Energy for resale under this Agreement, or (ii) the possibility of PURCHASER buying electric energy in the market at prices more favorable than those set in this Agreement for the supply of Electric Energy, or, further, the possibility of PURCHASER obtaining an increase of its supply of electric energy by the Distributor.</w:t>
      </w:r>
    </w:p>
    <w:p>
      <w:pPr>
        <w:pStyle w:val="BodyText"/>
        <w:jc w:val="start"/>
        <w:rPr>
          <w:b w:val="false"/>
          <w:lang w:val="en-US"/>
        </w:rPr>
      </w:pPr>
      <w:r>
        <w:rPr>
          <w:b w:val="false"/>
          <w:lang w:val="en-US"/>
        </w:rPr>
      </w:r>
    </w:p>
    <w:p>
      <w:pPr>
        <w:pStyle w:val="Heading2"/>
        <w:tabs>
          <w:tab w:val="clear" w:pos="720"/>
          <w:tab w:val="left" w:pos="270" w:leader="none"/>
          <w:tab w:val="left" w:pos="1080" w:leader="none"/>
        </w:tabs>
        <w:spacing w:before="0" w:after="0"/>
        <w:ind w:hanging="0" w:start="0"/>
        <w:rPr/>
      </w:pPr>
      <w:r>
        <w:rPr>
          <w:rFonts w:cs="CG Times" w:ascii="CG Times" w:hAnsi="CG Times"/>
          <w:b/>
          <w:sz w:val="24"/>
          <w:u w:val="single"/>
        </w:rPr>
        <w:t>Fifteenth Clause</w:t>
      </w:r>
      <w:r>
        <w:rPr>
          <w:rFonts w:cs="CG Times" w:ascii="CG Times" w:hAnsi="CG Times"/>
          <w:sz w:val="24"/>
        </w:rPr>
        <w:t xml:space="preserve"> - </w:t>
        <w:tab/>
        <w:t>The Parties hereby expressly and unconditionally acknowledge and confirm that the express remedies and measures of damages provided in this agreement satisfy the essential purposes hereof.  In the event that this Agreement provides an express remedy or measure of damages for breach of a certain provision or clause,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especially with regard to lost profits or reduction of any results forecasted.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signature of this Agreement by the Parties shall validate the acknowledgements and covenants herein and shall imply the effectiveness of the waive of rights hereby agreed.</w:t>
      </w:r>
    </w:p>
    <w:p>
      <w:pPr>
        <w:pStyle w:val="BodyText"/>
        <w:jc w:val="start"/>
        <w:rPr>
          <w:rFonts w:ascii="CG Times" w:hAnsi="CG Times" w:cs="CG Times"/>
          <w:b w:val="false"/>
          <w:sz w:val="24"/>
          <w:lang w:val="en-US"/>
        </w:rPr>
      </w:pPr>
      <w:r>
        <w:rPr>
          <w:rFonts w:cs="CG Times"/>
          <w:b w:val="false"/>
          <w:sz w:val="24"/>
          <w:lang w:val="en-US"/>
        </w:rPr>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CG Times" w:ascii="CG Times" w:hAnsi="CG Times"/>
          <w:b/>
          <w:u w:val="single"/>
          <w:lang w:val="en-US"/>
        </w:rPr>
        <w:t>Sixteenth Clause</w:t>
      </w:r>
      <w:r>
        <w:rPr>
          <w:rFonts w:cs="CG Times" w:ascii="CG Times" w:hAnsi="CG Times"/>
          <w:lang w:val="en-US"/>
        </w:rPr>
        <w:t xml:space="preserve"> - </w:t>
        <w:tab/>
        <w:t>The Parties hereby acknowledge that the transaction closed under the terms of this Agreement pertains to the Parties restrict interest and are confidential, and shall not be divulged to any third party (other than the Parties' controlling or controlled companies, companies under common control, and their administrators, managers, consultants and employees involved in the administration of the relevant transaction)) except in order to comply with any applicable law, order or regulation;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BodyText"/>
        <w:jc w:val="start"/>
        <w:rPr>
          <w:rFonts w:ascii="CG Times" w:hAnsi="CG Times" w:cs="CG Times"/>
          <w:b w:val="false"/>
          <w:lang w:val="en-US"/>
        </w:rPr>
      </w:pPr>
      <w:r>
        <w:rPr>
          <w:rFonts w:cs="CG Times"/>
          <w:b w:val="false"/>
          <w:lang w:val="en-US"/>
        </w:rPr>
      </w:r>
    </w:p>
    <w:p>
      <w:pPr>
        <w:pStyle w:val="BodyText"/>
        <w:jc w:val="start"/>
        <w:rPr>
          <w:b w:val="false"/>
          <w:lang w:val="en-US"/>
        </w:rPr>
      </w:pPr>
      <w:r>
        <w:rPr>
          <w:b w:val="false"/>
          <w:lang w:val="en-US"/>
        </w:rPr>
      </w:r>
    </w:p>
    <w:p>
      <w:pPr>
        <w:pStyle w:val="Normal"/>
        <w:rPr/>
      </w:pPr>
      <w:r>
        <w:rPr>
          <w:rFonts w:cs="CG Times" w:ascii="CG Times" w:hAnsi="CG Times"/>
          <w:b/>
          <w:u w:val="single"/>
          <w:lang w:val="en-US"/>
        </w:rPr>
        <w:t>Seventeenth Clause</w:t>
      </w:r>
      <w:r>
        <w:rPr>
          <w:rFonts w:cs="CG Times" w:ascii="CG Times" w:hAnsi="CG Times"/>
          <w:b/>
          <w:lang w:val="en-US"/>
        </w:rPr>
        <w:t xml:space="preserve"> - </w:t>
        <w:tab/>
      </w:r>
      <w:r>
        <w:rPr>
          <w:rFonts w:cs="CG Times" w:ascii="CG Times" w:hAnsi="CG Times"/>
          <w:lang w:val="en-US"/>
        </w:rPr>
        <w:t>All notices and communications either required or permitted under this Agreement or under the terms of any related agreement shall be made in written, by fax or any other electronic means, as follows: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ab/>
        <w:tab/>
        <w:t>(a) If to MARKETER:</w:t>
      </w:r>
    </w:p>
    <w:p>
      <w:pPr>
        <w:pStyle w:val="Normal"/>
        <w:rPr>
          <w:rFonts w:ascii="CG Times" w:hAnsi="CG Times" w:cs="CG Times"/>
          <w:lang w:val="en-US"/>
        </w:rPr>
      </w:pPr>
      <w:r>
        <w:rPr>
          <w:rFonts w:cs="CG Times" w:ascii="CG Times" w:hAnsi="CG Times"/>
          <w:lang w:val="en-US"/>
        </w:rPr>
        <w:tab/>
        <w:tab/>
        <w:tab/>
        <w:t>[...]</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b/>
        <w:tab/>
        <w:tab/>
        <w:t>(b) If to PURCHASER:</w:t>
      </w:r>
    </w:p>
    <w:p>
      <w:pPr>
        <w:pStyle w:val="Normal"/>
        <w:rPr>
          <w:rFonts w:ascii="CG Times" w:hAnsi="CG Times" w:cs="CG Times"/>
          <w:lang w:val="en-US"/>
        </w:rPr>
      </w:pPr>
      <w:r>
        <w:rPr>
          <w:rFonts w:cs="CG Times" w:ascii="CG Times" w:hAnsi="CG Times"/>
          <w:lang w:val="en-US"/>
        </w:rPr>
        <w:tab/>
        <w:tab/>
        <w:tab/>
        <w:t>[...]</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and shall be deemed received 24 (twenty-four) hours after the actual receipt.</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r>
    </w:p>
    <w:p>
      <w:pPr>
        <w:pStyle w:val="Normal"/>
        <w:rPr/>
      </w:pPr>
      <w:r>
        <w:rPr>
          <w:rFonts w:cs="CG Times" w:ascii="CG Times" w:hAnsi="CG Times"/>
          <w:b/>
          <w:u w:val="single"/>
          <w:lang w:val="en-US"/>
        </w:rPr>
        <w:t>Eighteenth Clause</w:t>
      </w:r>
      <w:r>
        <w:rPr>
          <w:rFonts w:cs="CG Times" w:ascii="CG Times" w:hAnsi="CG Times"/>
          <w:b/>
          <w:lang w:val="en-US"/>
        </w:rPr>
        <w:t xml:space="preserve"> </w:t>
      </w:r>
      <w:r>
        <w:rPr>
          <w:rFonts w:cs="CG Times" w:ascii="CG Times" w:hAnsi="CG Times"/>
          <w:lang w:val="en-US"/>
        </w:rPr>
        <w:t xml:space="preserve">- </w:t>
        <w:tab/>
        <w:t>Neither Party shall have the power to assign or otherwise transfer all or any of its rights or obligations under this Agreement without the prior written consent of the other Party, which consent may be reasonably withheld.</w:t>
      </w:r>
    </w:p>
    <w:p>
      <w:pPr>
        <w:pStyle w:val="Normal"/>
        <w:rPr>
          <w:rFonts w:ascii="CG Times" w:hAnsi="CG Times" w:cs="CG Times"/>
          <w:lang w:val="en-US"/>
        </w:rPr>
      </w:pPr>
      <w:r>
        <w:rPr>
          <w:rFonts w:cs="CG Times" w:ascii="CG Times" w:hAnsi="CG Times"/>
          <w:lang w:val="en-US"/>
        </w:rPr>
      </w:r>
    </w:p>
    <w:p>
      <w:pPr>
        <w:pStyle w:val="BodyText"/>
        <w:jc w:val="start"/>
        <w:rPr/>
      </w:pPr>
      <w:r>
        <w:rPr>
          <w:u w:val="single"/>
          <w:lang w:val="en-US"/>
        </w:rPr>
        <w:t>Nineteenth Clause</w:t>
      </w:r>
      <w:r>
        <w:rPr>
          <w:lang w:val="en-US"/>
        </w:rPr>
        <w:t xml:space="preserve"> </w:t>
      </w:r>
      <w:r>
        <w:rPr>
          <w:b w:val="false"/>
          <w:lang w:val="en-US"/>
        </w:rPr>
        <w:t xml:space="preserve">- </w:t>
        <w:tab/>
        <w:t>Any provision set forth herein declared or rendered unlawful, null or unenforceable will not otherwise affect the remaining lawful provisions; and provided, further, that if any such event occurs, the Parties shall use their best efforts to reform this Agreement in order to give effect to the original intention of the Parties.</w:t>
      </w:r>
    </w:p>
    <w:p>
      <w:pPr>
        <w:pStyle w:val="BodyText"/>
        <w:jc w:val="start"/>
        <w:rPr>
          <w:b w:val="false"/>
          <w:lang w:val="en-US"/>
        </w:rPr>
      </w:pPr>
      <w:r>
        <w:rPr>
          <w:b w:val="false"/>
          <w:lang w:val="en-US"/>
        </w:rPr>
      </w:r>
    </w:p>
    <w:p>
      <w:pPr>
        <w:pStyle w:val="BodyText"/>
        <w:jc w:val="start"/>
        <w:rPr/>
      </w:pPr>
      <w:r>
        <w:rPr>
          <w:u w:val="single"/>
          <w:lang w:val="en-US"/>
        </w:rPr>
        <w:t>Twentieth Clause</w:t>
      </w:r>
      <w:r>
        <w:rPr>
          <w:b w:val="false"/>
          <w:lang w:val="en-US"/>
        </w:rPr>
        <w:t xml:space="preserve"> - </w:t>
        <w:tab/>
        <w:t>This Agreement shall enter in force on the date hereof and shall expire on April 30, 1999, unless in the event of its early termination, pursuant to the terms set forth herein.  It is hereby expressly agreed that the validity of this Agreement is conditional upon the approval of the competent authorities, as provided for in Ordinance (</w:t>
      </w:r>
      <w:r>
        <w:rPr>
          <w:b w:val="false"/>
          <w:i/>
          <w:lang w:val="en-US"/>
        </w:rPr>
        <w:t>Portaria</w:t>
      </w:r>
      <w:r>
        <w:rPr>
          <w:b w:val="false"/>
          <w:lang w:val="en-US"/>
        </w:rPr>
        <w:t>) No. 459, of November 10, 1997, and other applicable legislation.</w:t>
      </w:r>
    </w:p>
    <w:p>
      <w:pPr>
        <w:pStyle w:val="BodyText"/>
        <w:jc w:val="start"/>
        <w:rPr>
          <w:b w:val="false"/>
          <w:lang w:val="en-US"/>
        </w:rPr>
      </w:pPr>
      <w:r>
        <w:rPr>
          <w:b w:val="false"/>
          <w:lang w:val="en-US"/>
        </w:rPr>
      </w:r>
    </w:p>
    <w:p>
      <w:pPr>
        <w:pStyle w:val="Normal"/>
        <w:rPr/>
      </w:pPr>
      <w:r>
        <w:rPr>
          <w:rFonts w:cs="CG Times" w:ascii="CG Times" w:hAnsi="CG Times"/>
          <w:b/>
          <w:u w:val="single"/>
          <w:lang w:val="en-US"/>
        </w:rPr>
        <w:t>Twenty-First Clause -</w:t>
      </w:r>
      <w:r>
        <w:rPr>
          <w:rFonts w:cs="CG Times" w:ascii="CG Times" w:hAnsi="CG Times"/>
          <w:lang w:val="en-US"/>
        </w:rPr>
        <w:t xml:space="preserve"> </w:t>
        <w:tab/>
        <w:t>All issues deriving from the interpretation and relating to the performance of the obligations of the Parties hereunder, if not solved in an amicable way, shall be subject to arbitration, according to the rules of the International Chamber of Commerce – ICC, with head offices in Paris, France, and shall be administered by the Chamber of Mediation and Arbitration of São Paulo.  The arbitration proceedings shall take place in the capital of the State of São Paulo and shall be conducted by a panel consisting of 3 (three) arbitrators, one being appointed by PURCHASER, other one by MARKETER and the third one, who shall act as the Chairman, being appointed by the arbitrators chosen by the Parties.  If the arbitrators do not reach consent as to the appointment of the third arbitrator, the Chairman of the Chamber of Mediation and Arbitration of São Paulo shall appoint the latter.  Upon request of any of the Parties, and provided that any individual involved in the arbitration proceedings, in any capacity, is not able to express himself/herself in Portuguese, the arbitrators shall authorize that the proceedings be conducted in English, in which case the arbitrators may make use of translations prepared by sworn translators.  Only damages allowed pursuant to this Agreement may be awarded and the arbitrators shall have no authority to award treble, exemplary or punitive damages of any kind under any circumstances.</w:t>
      </w:r>
    </w:p>
    <w:p>
      <w:pPr>
        <w:pStyle w:val="Normal"/>
        <w:rPr>
          <w:rFonts w:ascii="CG Times" w:hAnsi="CG Times" w:cs="CG Times"/>
          <w:lang w:val="en-US"/>
        </w:rPr>
      </w:pPr>
      <w:r>
        <w:rPr>
          <w:rFonts w:cs="CG Times" w:ascii="CG Times" w:hAnsi="CG Times"/>
          <w:lang w:val="en-US"/>
        </w:rPr>
      </w:r>
    </w:p>
    <w:p>
      <w:pPr>
        <w:pStyle w:val="Normal"/>
        <w:rPr>
          <w:rFonts w:ascii="CG Times" w:hAnsi="CG Times" w:cs="CG Times"/>
          <w:lang w:val="en-US"/>
        </w:rPr>
      </w:pPr>
      <w:r>
        <w:rPr>
          <w:rFonts w:cs="CG Times" w:ascii="CG Times" w:hAnsi="CG Times"/>
          <w:lang w:val="en-US"/>
        </w:rPr>
        <w:t>IN WITNESS WHEREOF, the parties hereto executed this Agreement in 2 (two) counterparts of equal tenor and form, together with the witnesses below.</w:t>
      </w:r>
    </w:p>
    <w:p>
      <w:pPr>
        <w:pStyle w:val="Corpodetexto2"/>
        <w:jc w:val="start"/>
        <w:rPr>
          <w:rFonts w:ascii="CG Times" w:hAnsi="CG Times" w:cs="CG Times"/>
          <w:lang w:val="en-US"/>
        </w:rPr>
      </w:pPr>
      <w:r>
        <w:rPr>
          <w:rFonts w:cs="CG Times"/>
          <w:lang w:val="en-US"/>
        </w:rPr>
      </w:r>
    </w:p>
    <w:p>
      <w:pPr>
        <w:pStyle w:val="Normal"/>
        <w:rPr>
          <w:rFonts w:ascii="CG Times" w:hAnsi="CG Times" w:cs="CG Times"/>
          <w:lang w:val="en-US"/>
        </w:rPr>
      </w:pPr>
      <w:r>
        <w:rPr>
          <w:rFonts w:cs="CG Times" w:ascii="CG Times" w:hAnsi="CG Times"/>
          <w:lang w:val="en-US"/>
        </w:rPr>
      </w:r>
    </w:p>
    <w:p>
      <w:pPr>
        <w:pStyle w:val="Normal"/>
        <w:jc w:val="center"/>
        <w:rPr>
          <w:rFonts w:ascii="CG Times" w:hAnsi="CG Times" w:cs="CG Times"/>
          <w:lang w:val="en-US"/>
        </w:rPr>
      </w:pPr>
      <w:r>
        <w:rPr>
          <w:rFonts w:cs="CG Times" w:ascii="CG Times" w:hAnsi="CG Times"/>
          <w:lang w:val="en-US"/>
        </w:rPr>
        <w:t>São Paulo, [...], 1999.</w:t>
      </w:r>
    </w:p>
    <w:p>
      <w:pPr>
        <w:pStyle w:val="Normal"/>
        <w:jc w:val="center"/>
        <w:rPr>
          <w:rFonts w:ascii="CG Times" w:hAnsi="CG Times" w:cs="CG Times"/>
          <w:lang w:val="en-US"/>
        </w:rPr>
      </w:pPr>
      <w:r>
        <w:rPr>
          <w:rFonts w:cs="CG Times" w:ascii="CG Times" w:hAnsi="CG Times"/>
          <w:lang w:val="en-US"/>
        </w:rPr>
      </w:r>
    </w:p>
    <w:p>
      <w:pPr>
        <w:pStyle w:val="Normal"/>
        <w:jc w:val="both"/>
        <w:rPr>
          <w:rFonts w:ascii="CG Times" w:hAnsi="CG Times" w:cs="CG Times"/>
          <w:b/>
        </w:rPr>
      </w:pPr>
      <w:r>
        <w:rPr>
          <w:rFonts w:cs="CG Times" w:ascii="CG Times" w:hAnsi="CG Times"/>
          <w:b/>
        </w:rPr>
        <w:t>EPB – ENERGIA PAN BRASIL LTDA.</w:t>
        <w:tab/>
        <w:tab/>
        <w:t>CARBOCLORO OXYPAR</w:t>
      </w:r>
    </w:p>
    <w:p>
      <w:pPr>
        <w:pStyle w:val="Normal"/>
        <w:ind w:firstLine="708" w:start="4248" w:end="0"/>
        <w:jc w:val="both"/>
        <w:rPr>
          <w:rFonts w:ascii="CG Times" w:hAnsi="CG Times" w:cs="CG Times"/>
          <w:b/>
        </w:rPr>
      </w:pPr>
      <w:r>
        <w:rPr>
          <w:rFonts w:cs="CG Times" w:ascii="CG Times" w:hAnsi="CG Times"/>
          <w:b/>
        </w:rPr>
        <w:t>INDÚSTRIAS QUÍMICAS S.A.</w:t>
      </w:r>
    </w:p>
    <w:p>
      <w:pPr>
        <w:pStyle w:val="Normal"/>
        <w:ind w:firstLine="708" w:start="4248" w:end="0"/>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rPr>
        <w:t>By:</w:t>
        <w:tab/>
        <w:tab/>
        <w:tab/>
        <w:tab/>
        <w:tab/>
        <w:tab/>
        <w:tab/>
        <w:t>By:</w:t>
      </w:r>
    </w:p>
    <w:p>
      <w:pPr>
        <w:pStyle w:val="Normal"/>
        <w:jc w:val="both"/>
        <w:rPr>
          <w:rFonts w:ascii="CG Times" w:hAnsi="CG Times" w:cs="CG Times"/>
        </w:rPr>
      </w:pPr>
      <w:r>
        <w:rPr>
          <w:rFonts w:cs="CG Times" w:ascii="CG Times" w:hAnsi="CG Times"/>
        </w:rPr>
        <w:t>Title:</w:t>
        <w:tab/>
        <w:tab/>
        <w:tab/>
        <w:tab/>
        <w:tab/>
        <w:tab/>
        <w:tab/>
        <w:t>Title:</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Witnesses:</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Name:</w:t>
        <w:tab/>
        <w:tab/>
        <w:tab/>
        <w:tab/>
        <w:tab/>
        <w:tab/>
        <w:tab/>
        <w:t>Name:</w:t>
        <w:tab/>
      </w:r>
    </w:p>
    <w:p>
      <w:pPr>
        <w:pStyle w:val="Normal"/>
        <w:jc w:val="both"/>
        <w:rPr>
          <w:rFonts w:ascii="CG Times" w:hAnsi="CG Times" w:cs="CG Times"/>
        </w:rPr>
      </w:pPr>
      <w:r>
        <w:rPr>
          <w:rFonts w:cs="CG Times" w:ascii="CG Times" w:hAnsi="CG Times"/>
        </w:rPr>
        <w:t>CPF/MF:</w:t>
        <w:tab/>
        <w:tab/>
        <w:tab/>
        <w:tab/>
        <w:tab/>
        <w:tab/>
        <w:t>CPF/MF:</w:t>
        <w:tab/>
      </w:r>
    </w:p>
    <w:p>
      <w:pPr>
        <w:pStyle w:val="BodyText"/>
        <w:jc w:val="start"/>
        <w:rPr>
          <w:rFonts w:ascii="CG Times" w:hAnsi="CG Times" w:cs="CG Times"/>
          <w:b w:val="false"/>
          <w:lang w:val="en-US"/>
        </w:rPr>
      </w:pPr>
      <w:r>
        <w:rPr>
          <w:rFonts w:cs="CG Times"/>
          <w:b w:val="false"/>
          <w:lang w:val="en-US"/>
        </w:rPr>
      </w:r>
      <w:r>
        <w:br w:type="page"/>
      </w:r>
    </w:p>
    <w:p>
      <w:pPr>
        <w:pStyle w:val="BodyText"/>
        <w:rPr>
          <w:b w:val="false"/>
          <w:lang w:val="en-US"/>
        </w:rPr>
      </w:pPr>
      <w:r>
        <w:rPr>
          <w:b w:val="false"/>
          <w:lang w:val="en-US"/>
        </w:rPr>
      </w:r>
    </w:p>
    <w:p>
      <w:pPr>
        <w:pStyle w:val="BodyText"/>
        <w:rPr>
          <w:lang w:val="en-US"/>
        </w:rPr>
      </w:pPr>
      <w:r>
        <w:rPr>
          <w:lang w:val="en-US"/>
        </w:rPr>
        <w:t xml:space="preserve">SOLE ANNEX TO THE POWER PURCHASE AGREEMENT </w:t>
      </w:r>
    </w:p>
    <w:p>
      <w:pPr>
        <w:pStyle w:val="BodyText"/>
        <w:rPr>
          <w:lang w:val="en-US"/>
        </w:rPr>
      </w:pPr>
      <w:r>
        <w:rPr>
          <w:lang w:val="en-US"/>
        </w:rPr>
        <w:t>BETWEEN EPB – ENERGIA PAN BRASIL LTDA AND CARBOCLORO OXYPAR INDÚSTRIAS QUÍMICAS S.A.</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SPECIFICATIONS OF THE CONTRACTED SUPPLY</w:t>
      </w:r>
    </w:p>
    <w:p>
      <w:pPr>
        <w:pStyle w:val="BodyText"/>
        <w:rPr>
          <w:lang w:val="en-US"/>
        </w:rPr>
      </w:pPr>
      <w:r>
        <w:rPr>
          <w:lang w:val="en-US"/>
        </w:rPr>
      </w:r>
    </w:p>
    <w:p>
      <w:pPr>
        <w:pStyle w:val="BodyText"/>
        <w:rPr>
          <w:lang w:val="en-US"/>
        </w:rPr>
      </w:pPr>
      <w:r>
        <w:rPr>
          <w:lang w:val="en-US"/>
        </w:rPr>
      </w:r>
    </w:p>
    <w:p>
      <w:pPr>
        <w:pStyle w:val="BodyText"/>
        <w:jc w:val="start"/>
        <w:rPr>
          <w:b w:val="false"/>
          <w:lang w:val="en-US"/>
        </w:rPr>
      </w:pPr>
      <w:r>
        <w:rPr>
          <w:b w:val="false"/>
          <w:lang w:val="en-US"/>
        </w:rPr>
        <w:tab/>
        <w:t>(a)</w:t>
        <w:tab/>
        <w:t>Supply Period:</w:t>
        <w:tab/>
        <w:tab/>
        <w:t>from [...] until 04.30.99</w:t>
      </w:r>
    </w:p>
    <w:p>
      <w:pPr>
        <w:pStyle w:val="BodyText"/>
        <w:jc w:val="start"/>
        <w:rPr>
          <w:b w:val="false"/>
          <w:lang w:val="en-US"/>
        </w:rPr>
      </w:pPr>
      <w:r>
        <w:rPr>
          <w:b w:val="false"/>
          <w:lang w:val="en-US"/>
        </w:rPr>
      </w:r>
    </w:p>
    <w:p>
      <w:pPr>
        <w:pStyle w:val="BodyText"/>
        <w:ind w:start="708" w:end="0"/>
        <w:jc w:val="start"/>
        <w:rPr>
          <w:b w:val="false"/>
          <w:lang w:val="en-US"/>
        </w:rPr>
      </w:pPr>
      <w:r>
        <w:rPr>
          <w:b w:val="false"/>
          <w:lang w:val="en-US"/>
        </w:rPr>
      </w:r>
    </w:p>
    <w:tbl>
      <w:tblPr>
        <w:tblW w:w="7308" w:type="dxa"/>
        <w:jc w:val="start"/>
        <w:tblInd w:w="0" w:type="dxa"/>
        <w:tblLayout w:type="fixed"/>
        <w:tblCellMar>
          <w:top w:w="0" w:type="dxa"/>
          <w:start w:w="108" w:type="dxa"/>
          <w:bottom w:w="0" w:type="dxa"/>
          <w:end w:w="108" w:type="dxa"/>
        </w:tblCellMar>
      </w:tblPr>
      <w:tblGrid>
        <w:gridCol w:w="4248"/>
        <w:gridCol w:w="3060"/>
      </w:tblGrid>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ab/>
              <w:t>(b)</w:t>
              <w:tab/>
            </w:r>
            <w:r>
              <w:rPr>
                <w:lang w:val="en-US"/>
              </w:rPr>
              <w:t>Contracted Energy</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lang w:val="en-US"/>
              </w:rPr>
              <w:t>Availability of Power</w:t>
            </w:r>
          </w:p>
        </w:tc>
      </w:tr>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Minimum: 0 MW (Peak and Off Peak Period)</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Minimum: 0 MWh</w:t>
            </w:r>
          </w:p>
        </w:tc>
      </w:tr>
      <w:tr>
        <w:trPr/>
        <w:tc>
          <w:tcPr>
            <w:tcW w:w="4248"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Maximum: 3 MW (Peak and Off Peak Period0</w:t>
            </w:r>
          </w:p>
        </w:tc>
        <w:tc>
          <w:tcPr>
            <w:tcW w:w="3060" w:type="dxa"/>
            <w:tcBorders>
              <w:top w:val="single" w:sz="4" w:space="0" w:color="000000"/>
              <w:start w:val="single" w:sz="4" w:space="0" w:color="000000"/>
              <w:bottom w:val="single" w:sz="4" w:space="0" w:color="000000"/>
              <w:end w:val="single" w:sz="4" w:space="0" w:color="000000"/>
            </w:tcBorders>
          </w:tcPr>
          <w:p>
            <w:pPr>
              <w:pStyle w:val="BodyText"/>
              <w:jc w:val="start"/>
              <w:rPr>
                <w:b w:val="false"/>
                <w:lang w:val="en-US"/>
              </w:rPr>
            </w:pPr>
            <w:r>
              <w:rPr>
                <w:b w:val="false"/>
                <w:lang w:val="en-US"/>
              </w:rPr>
              <w:t>Maximum: [    ] MWh</w:t>
            </w:r>
          </w:p>
        </w:tc>
      </w:tr>
    </w:tbl>
    <w:p>
      <w:pPr>
        <w:pStyle w:val="Normal"/>
        <w:jc w:val="both"/>
        <w:rPr>
          <w:rFonts w:ascii="CG Times" w:hAnsi="CG Times" w:cs="CG Times"/>
          <w:lang w:val="en-US"/>
        </w:rPr>
      </w:pPr>
      <w:r>
        <w:rPr>
          <w:rFonts w:cs="CG Times" w:ascii="CG Times" w:hAnsi="CG Times"/>
          <w:lang w:val="en-US"/>
        </w:rPr>
      </w:r>
    </w:p>
    <w:p>
      <w:pPr>
        <w:pStyle w:val="BodyText"/>
        <w:jc w:val="start"/>
        <w:rPr>
          <w:b w:val="false"/>
          <w:lang w:val="en-US"/>
        </w:rPr>
      </w:pPr>
      <w:r>
        <w:rPr>
          <w:b w:val="false"/>
          <w:lang w:val="en-US"/>
        </w:rPr>
        <w:tab/>
        <w:t>(d)</w:t>
        <w:tab/>
        <w:t>Voltage applicable to supply:</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88 KV, alternate three phase current, frequency of 60 Hz.</w:t>
      </w:r>
    </w:p>
    <w:p>
      <w:pPr>
        <w:pStyle w:val="BodyText"/>
        <w:jc w:val="start"/>
        <w:rPr>
          <w:b w:val="false"/>
          <w:lang w:val="en-US"/>
        </w:rPr>
      </w:pPr>
      <w:r>
        <w:rPr>
          <w:b w:val="false"/>
          <w:lang w:val="en-US"/>
        </w:rPr>
      </w:r>
    </w:p>
    <w:p>
      <w:pPr>
        <w:pStyle w:val="BodyText"/>
        <w:jc w:val="start"/>
        <w:rPr>
          <w:b w:val="false"/>
          <w:lang w:val="en-US"/>
        </w:rPr>
      </w:pPr>
      <w:r>
        <w:rPr>
          <w:b w:val="false"/>
          <w:lang w:val="en-US"/>
        </w:rPr>
        <w:tab/>
        <w:t>(e)</w:t>
        <w:tab/>
        <w:t xml:space="preserve">Delivery Point: </w:t>
      </w:r>
    </w:p>
    <w:p>
      <w:pPr>
        <w:pStyle w:val="BodyText"/>
        <w:jc w:val="start"/>
        <w:rPr>
          <w:b w:val="false"/>
          <w:lang w:val="en-US"/>
        </w:rPr>
      </w:pPr>
      <w:r>
        <w:rPr>
          <w:b w:val="false"/>
          <w:lang w:val="en-US"/>
        </w:rPr>
      </w:r>
    </w:p>
    <w:p>
      <w:pPr>
        <w:pStyle w:val="BodyText"/>
        <w:ind w:start="1418" w:end="0"/>
        <w:jc w:val="start"/>
        <w:rPr>
          <w:b w:val="false"/>
          <w:lang w:val="en-US"/>
        </w:rPr>
      </w:pPr>
      <w:r>
        <w:rPr>
          <w:b w:val="false"/>
          <w:lang w:val="en-US"/>
        </w:rPr>
        <w:t>Substation of 88 KV to 11.5 KV located at the PURCHASER’s industrial premises, at Estrada Piaçaguera, km 4, City of Cubatão, State of São Paulo.</w:t>
      </w:r>
    </w:p>
    <w:p>
      <w:pPr>
        <w:pStyle w:val="BodyText"/>
        <w:jc w:val="start"/>
        <w:rPr>
          <w:b w:val="false"/>
          <w:lang w:val="en-US"/>
        </w:rPr>
      </w:pPr>
      <w:r>
        <w:rPr>
          <w:b w:val="false"/>
          <w:lang w:val="en-US"/>
        </w:rPr>
      </w:r>
    </w:p>
    <w:p>
      <w:pPr>
        <w:pStyle w:val="BodyText"/>
        <w:jc w:val="start"/>
        <w:rPr>
          <w:b w:val="false"/>
          <w:lang w:val="en-US"/>
        </w:rPr>
      </w:pPr>
      <w:r>
        <w:rPr>
          <w:b w:val="false"/>
          <w:lang w:val="en-US"/>
        </w:rPr>
        <w:tab/>
        <w:t>(f)</w:t>
        <w:tab/>
        <w:t>Price:</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R$ 25.00 per MWh, inclusive of all costs and charges relating to the operation, including charges for the use of the Grid.</w:t>
      </w:r>
    </w:p>
    <w:p>
      <w:pPr>
        <w:pStyle w:val="BodyText"/>
        <w:jc w:val="start"/>
        <w:rPr>
          <w:b w:val="false"/>
          <w:lang w:val="en-US"/>
        </w:rPr>
      </w:pPr>
      <w:r>
        <w:rPr>
          <w:b w:val="false"/>
          <w:lang w:val="en-US"/>
        </w:rPr>
      </w:r>
    </w:p>
    <w:p>
      <w:pPr>
        <w:pStyle w:val="BodyText"/>
        <w:jc w:val="start"/>
        <w:rPr>
          <w:b w:val="false"/>
          <w:lang w:val="en-US"/>
        </w:rPr>
      </w:pPr>
      <w:r>
        <w:rPr>
          <w:b w:val="false"/>
          <w:lang w:val="en-US"/>
        </w:rPr>
        <w:tab/>
        <w:t>(g)</w:t>
        <w:tab/>
        <w:t>Other Specifications:</w:t>
      </w:r>
    </w:p>
    <w:p>
      <w:pPr>
        <w:pStyle w:val="BodyText"/>
        <w:jc w:val="start"/>
        <w:rPr>
          <w:b w:val="false"/>
          <w:lang w:val="en-US"/>
        </w:rPr>
      </w:pPr>
      <w:r>
        <w:rPr>
          <w:b w:val="false"/>
          <w:lang w:val="en-US"/>
        </w:rPr>
      </w:r>
    </w:p>
    <w:p>
      <w:pPr>
        <w:pStyle w:val="BodyText"/>
        <w:jc w:val="start"/>
        <w:rPr>
          <w:b w:val="false"/>
          <w:lang w:val="en-US"/>
        </w:rPr>
      </w:pPr>
      <w:r>
        <w:rPr>
          <w:b w:val="false"/>
          <w:lang w:val="en-US"/>
        </w:rPr>
        <w:tab/>
        <w:tab/>
        <w:tab/>
        <w:t>[...]</w:t>
      </w:r>
    </w:p>
    <w:p>
      <w:pPr>
        <w:pStyle w:val="BodyText"/>
        <w:jc w:val="start"/>
        <w:rPr>
          <w:b w:val="false"/>
          <w:lang w:val="en-US"/>
        </w:rPr>
      </w:pPr>
      <w:r>
        <w:rPr>
          <w:b w:val="false"/>
          <w:lang w:val="en-US"/>
        </w:rPr>
      </w:r>
    </w:p>
    <w:p>
      <w:pPr>
        <w:pStyle w:val="BodyText"/>
        <w:jc w:val="start"/>
        <w:rPr>
          <w:b w:val="false"/>
          <w:lang w:val="en-US"/>
        </w:rPr>
      </w:pPr>
      <w:r>
        <w:rPr>
          <w:b w:val="false"/>
          <w:lang w:val="en-US"/>
        </w:rPr>
      </w:r>
    </w:p>
    <w:p>
      <w:pPr>
        <w:pStyle w:val="BodyText"/>
        <w:jc w:val="start"/>
        <w:rPr>
          <w:b w:val="false"/>
          <w:sz w:val="16"/>
          <w:lang w:val="en-US"/>
        </w:rPr>
      </w:pPr>
      <w:r>
        <w:rPr>
          <w:b w:val="false"/>
          <w:sz w:val="16"/>
          <w:lang w:val="en-US"/>
        </w:rPr>
        <w:t>agnes/enron/marketer/carboppa.doc</w:t>
      </w:r>
    </w:p>
    <w:p>
      <w:pPr>
        <w:pStyle w:val="BodyText"/>
        <w:rPr>
          <w:b w:val="false"/>
          <w:sz w:val="16"/>
          <w:lang w:val="en-US"/>
        </w:rPr>
      </w:pPr>
      <w:r>
        <w:rPr>
          <w:b w:val="false"/>
          <w:sz w:val="16"/>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pt-BR" w:eastAsia="zh-CN" w:bidi="hi-IN"/>
    </w:rPr>
  </w:style>
  <w:style w:type="paragraph" w:styleId="Heading1">
    <w:name w:val="heading 1"/>
    <w:basedOn w:val="Normal"/>
    <w:next w:val="Normal"/>
    <w:qFormat/>
    <w:pPr>
      <w:keepNext w:val="true"/>
      <w:numPr>
        <w:ilvl w:val="0"/>
        <w:numId w:val="1"/>
      </w:numPr>
      <w:jc w:val="end"/>
      <w:outlineLvl w:val="0"/>
    </w:pPr>
    <w:rPr>
      <w:rFonts w:ascii="CG Times" w:hAnsi="CG Times" w:cs="CG Times"/>
      <w:b/>
      <w:sz w:val="18"/>
    </w:rPr>
  </w:style>
  <w:style w:type="paragraph" w:styleId="Heading2">
    <w:name w:val="heading 2"/>
    <w:basedOn w:val="Normal"/>
    <w:next w:val="BodyText"/>
    <w:qFormat/>
    <w:pPr>
      <w:numPr>
        <w:ilvl w:val="1"/>
        <w:numId w:val="1"/>
      </w:numPr>
      <w:spacing w:before="0" w:after="120"/>
      <w:jc w:val="both"/>
      <w:outlineLvl w:val="1"/>
    </w:pPr>
    <w:rPr>
      <w:rFonts w:ascii="Times New Roman" w:hAnsi="Times New Roman" w:cs="Times New Roman"/>
      <w:sz w:val="22"/>
      <w:lang w:val="en-US"/>
    </w:rPr>
  </w:style>
  <w:style w:type="character" w:styleId="WW8Num1z0">
    <w:name w:val="WW8Num1z0"/>
    <w:qFormat/>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G Times" w:hAnsi="CG Times" w:cs="CG Times"/>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rpodetexto2">
    <w:name w:val="Corpo de texto 2"/>
    <w:basedOn w:val="Normal"/>
    <w:qFormat/>
    <w:pPr>
      <w:jc w:val="both"/>
    </w:pPr>
    <w:rPr>
      <w:rFonts w:ascii="CG Times" w:hAnsi="CG Times" w:cs="CG Times"/>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1999-04-16T10:47:00Z</dcterms:created>
  <dc:creator>TFTS</dc:creator>
  <dc:description/>
  <dc:language>en-CA</dc:language>
  <cp:lastModifiedBy>TFTS</cp:lastModifiedBy>
  <dcterms:modified xsi:type="dcterms:W3CDTF">1999-06-30T14:33:00Z</dcterms:modified>
  <cp:revision>26</cp:revision>
  <dc:subject/>
  <dc:title>Minuta Preliminar para Discussão</dc:title>
</cp:coreProperties>
</file>