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one or more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Seller</w:t>
      </w:r>
      <w:r>
        <w:rPr>
          <w:rFonts w:cs="Arial Narrow" w:ascii="Arial Narrow" w:hAnsi="Arial Narrow"/>
          <w:b/>
          <w:sz w:val="22"/>
        </w:rPr>
        <w:t xml:space="preserve">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terms of the </w:t>
      </w:r>
      <w:r>
        <w:rPr>
          <w:rFonts w:cs="Arial Narrow" w:ascii="Arial Narrow" w:hAnsi="Arial Narrow"/>
          <w:b/>
          <w:sz w:val="22"/>
        </w:rPr>
        <w:t xml:space="preserve">Tariff </w:t>
      </w:r>
      <w:r>
        <w:rPr>
          <w:rFonts w:cs="Arial Narrow" w:ascii="Arial Narrow" w:hAnsi="Arial Narrow"/>
          <w:sz w:val="22"/>
        </w:rPr>
        <w:t xml:space="preserve">of the </w:t>
      </w:r>
      <w:r>
        <w:rPr>
          <w:rFonts w:cs="Arial Narrow" w:ascii="Arial Narrow" w:hAnsi="Arial Narrow"/>
          <w:b/>
          <w:sz w:val="22"/>
        </w:rPr>
        <w:t xml:space="preserve">Reference Pipeline </w:t>
      </w:r>
      <w:r>
        <w:rPr>
          <w:rFonts w:cs="Arial Narrow" w:ascii="Arial Narrow" w:hAnsi="Arial Narrow"/>
          <w:sz w:val="22"/>
        </w:rPr>
        <w:t xml:space="preserve">from the </w:t>
      </w:r>
      <w:r>
        <w:rPr>
          <w:rFonts w:cs="Arial Narrow" w:ascii="Arial Narrow" w:hAnsi="Arial Narrow"/>
          <w:b/>
          <w:sz w:val="22"/>
        </w:rPr>
        <w:t xml:space="preserve">Primary Receipt Point </w:t>
      </w:r>
      <w:r>
        <w:rPr>
          <w:rFonts w:cs="Arial Narrow" w:ascii="Arial Narrow" w:hAnsi="Arial Narrow"/>
          <w:sz w:val="22"/>
        </w:rPr>
        <w:t xml:space="preserve">to the </w:t>
      </w:r>
      <w:r>
        <w:rPr>
          <w:rFonts w:cs="Arial Narrow" w:ascii="Arial Narrow" w:hAnsi="Arial Narrow"/>
          <w:b/>
          <w:sz w:val="22"/>
        </w:rPr>
        <w:t xml:space="preserve">Primary Delivery Point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Enron Online  website.  </w:t>
      </w:r>
    </w:p>
    <w:p>
      <w:pPr>
        <w:pStyle w:val="Normal"/>
        <w:spacing w:lineRule="auto" w:line="240"/>
        <w:jc w:val="center"/>
        <w:rPr>
          <w:rFonts w:ascii="Arial Narrow" w:hAnsi="Arial Narrow" w:cs="Arial Narrow"/>
          <w:b/>
          <w:sz w:val="22"/>
        </w:rPr>
      </w:pPr>
      <w:r>
        <w:rPr>
          <w:rFonts w:cs="Arial Narrow" w:ascii="Arial Narrow" w:hAnsi="Arial Narrow"/>
          <w:b/>
          <w:sz w:val="22"/>
        </w:rPr>
        <w:t>2.  SELLER’S OBLIGATIONS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rPr/>
      </w:pPr>
      <w:r>
        <w:rPr>
          <w:rFonts w:cs="Arial Narrow" w:ascii="Arial Narrow" w:hAnsi="Arial Narrow"/>
          <w:b/>
          <w:sz w:val="22"/>
        </w:rPr>
        <w:tab/>
      </w:r>
      <w:r>
        <w:rPr>
          <w:rFonts w:cs="Arial Narrow" w:ascii="Arial Narrow" w:hAnsi="Arial Narrow"/>
          <w:sz w:val="22"/>
        </w:rPr>
        <w:t xml:space="preserve">Seller shall cause the each completed Transaction to be posted by the Reference Pipeline in accordance with the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(i) no earlier than </w:t>
      </w:r>
      <w:r>
        <w:rPr>
          <w:rFonts w:cs="Arial Narrow" w:ascii="Arial Narrow" w:hAnsi="Arial Narrow"/>
          <w:b/>
          <w:sz w:val="22"/>
        </w:rPr>
        <w:t>[15]</w:t>
      </w:r>
      <w:r>
        <w:rPr>
          <w:rFonts w:cs="Arial Narrow" w:ascii="Arial Narrow" w:hAnsi="Arial Narrow"/>
          <w:sz w:val="22"/>
        </w:rPr>
        <w:t xml:space="preserve"> days prior to the start of the Delivery Period and (ii) no later than the last day prior to the start of the Period of Delivery permitted by the Pipeline Posting Requirements for the timely posting of the Transaction by the Reference Pipeline’s Tariff.  Seller shall immediately give Buyer written notice upon the Reference Pipeline’s posting a Transaction.  Seller shall cause all Daily Contract Capacity to be posted as non-recallable capacity.  To the extent permitted by the Reference Pipeline’s Tariff and applicable law, Seller will cause the Transaction to be posted such that it is not subject to any bidding, open season procedures, or FERC approval.</w:t>
      </w:r>
    </w:p>
    <w:p>
      <w:pPr>
        <w:pStyle w:val="Normal"/>
        <w:spacing w:lineRule="auto" w:line="24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3.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the Reference Pipeline’s credit requirements</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(iii) 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applicable Transaction,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positive difference only between the Gas Daily mid-point price applicable to the Receipt Point under the Transaction and the Gas Daily mid-point price applicable to the Delivery Point under the Transaction, plus $0.02 </w:t>
      </w:r>
      <w:r>
        <w:rPr>
          <w:rFonts w:cs="Arial Narrow" w:ascii="Arial Narrow" w:hAnsi="Arial Narrow"/>
          <w:sz w:val="22"/>
          <w:u w:val="single"/>
        </w:rPr>
        <w:t>times</w:t>
      </w:r>
      <w:r>
        <w:rPr>
          <w:rFonts w:cs="Arial Narrow" w:ascii="Arial Narrow" w:hAnsi="Arial Narrow"/>
          <w:sz w:val="22"/>
        </w:rPr>
        <w:t xml:space="preserve"> (iii) the number of Days in the Period of Delivery </w:t>
      </w:r>
      <w:r>
        <w:rPr>
          <w:rFonts w:cs="Arial Narrow" w:ascii="Arial Narrow" w:hAnsi="Arial Narrow"/>
          <w:b/>
          <w:sz w:val="22"/>
        </w:rPr>
        <w:t>[will the value in (ii) be $.02 in all cases where the Gas Daily Spread is negative, or is it intended to equal zero?  Also, will transactions only be done at points where Gas Daily pricing is available?]</w:t>
      </w:r>
      <w:r>
        <w:rPr>
          <w:rFonts w:cs="Arial Narrow" w:ascii="Arial Narrow" w:hAnsi="Arial Narrow"/>
          <w:sz w:val="22"/>
        </w:rPr>
        <w:t xml:space="preserve">.  Such damages shall be immediately due and payable and shall be made by Seller to Buyer within 20 days of Seller’s receipt of Buyer’s invoice thereof.  In addition to the remedies above, Buyer may, in its sole discretion, by issuing no more than 20 days prior written notice to Seller, designate a day (no earlier than the day such notice is effective) as an early termination date of the Transaction.  </w:t>
      </w:r>
      <w:r>
        <w:rPr>
          <w:rFonts w:cs="Arial Narrow" w:ascii="Arial Narrow" w:hAnsi="Arial Narrow"/>
          <w:b/>
          <w:sz w:val="22"/>
        </w:rPr>
        <w:t>[Is this sentence needed?  If Seller fails to receive the award of the Daily Contract Capacity, isn’t the Transaction terminated, except for recovering damages?)</w:t>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3 of this GTC causes Seller not to be relieved of having to pay all rates and costs associated with holding the applicable Daily Contract Capacity for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w:t>
      </w:r>
      <w:r>
        <w:rPr>
          <w:rFonts w:cs="Arial Narrow" w:ascii="Arial Narrow" w:hAnsi="Arial Narrow"/>
          <w:sz w:val="22"/>
          <w:u w:val="single"/>
        </w:rPr>
        <w:t>times</w:t>
      </w:r>
      <w:r>
        <w:rPr>
          <w:rFonts w:cs="Arial Narrow" w:ascii="Arial Narrow" w:hAnsi="Arial Narrow"/>
          <w:sz w:val="22"/>
        </w:rPr>
        <w:t xml:space="preserve"> (iii) the number of Days in the Period of Delivery; further, Buyer shall be liable to Seller for all variable rates, and other taxes, fees, and charges incurred by Seller attributable to such Daily Contract Capacity.  Such damages shall be immediately due and payable and shall be made by Buyer to Seller within 20 days of Buyer’s receipt of Seller’s invoice thereof.  In addition to the remedies above, Seller may, in its sole discretion, by no more than 20 days notice to Buyer designate a day no earlier than the day such notice is effective as an early termination date of the Transaction. </w:t>
      </w:r>
      <w:r>
        <w:rPr>
          <w:rFonts w:cs="Arial Narrow" w:ascii="Arial Narrow" w:hAnsi="Arial Narrow"/>
          <w:b/>
          <w:sz w:val="22"/>
        </w:rPr>
        <w:t>[Is this sentence needed?  If Seller fails to receive the award of the Daily Contract Capacity, isn’t the Transaction terminated, except for recovering damages?)</w:t>
      </w:r>
    </w:p>
    <w:p>
      <w:pPr>
        <w:pStyle w:val="Normal"/>
        <w:widowControl/>
        <w:spacing w:lineRule="auto" w:line="240"/>
        <w:ind w:firstLine="720" w:end="0"/>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6.  COLLATERAL ARRANGEMENTS AND LATE PAYMENT.</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pPr>
      <w:r>
        <w:rPr>
          <w:rFonts w:cs="Arial Narrow" w:ascii="Arial Narrow" w:hAnsi="Arial Narrow"/>
          <w:i/>
          <w:sz w:val="22"/>
        </w:rPr>
        <w:t xml:space="preserve">[Counterparty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hereunder until such time as Counterparty furnishes acceptable payment securities to Enron </w:t>
      </w:r>
      <w:r>
        <w:rPr>
          <w:rFonts w:cs="Arial Narrow" w:ascii="Arial Narrow" w:hAnsi="Arial Narrow"/>
          <w:b/>
          <w:i/>
          <w:sz w:val="22"/>
        </w:rPr>
        <w:t xml:space="preserve">How has this been resolved? </w:t>
      </w:r>
      <w:r>
        <w:rPr>
          <w:rFonts w:cs="Arial Narrow" w:ascii="Arial Narrow" w:hAnsi="Arial Narrow"/>
          <w:i/>
          <w:sz w:val="22"/>
        </w:rPr>
        <w:t>.] Credit??</w:t>
      </w:r>
      <w:r>
        <w:rPr>
          <w:rFonts w:cs="Arial Narrow" w:ascii="Arial Narrow" w:hAnsi="Arial Narrow"/>
          <w:sz w:val="22"/>
        </w:rPr>
        <w:t xml:space="preserve">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 xml:space="preserve">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7.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8.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10.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12.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Clock Time on each calendar day and ending at 9:00 a.m. Central Clock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  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/mnt/main-storage/datasets/enron-docs/doc/Capacity_Release_GTC__SVH_.doc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sz w:val="24"/>
      </w:rPr>
    </w:pPr>
    <w:r>
      <w:rPr>
        <w:b/>
        <w:sz w:val="24"/>
      </w:rPr>
      <w:t>SVH SUGGESTED REVISIONS &amp; QUESTIONS</w:t>
    </w:r>
  </w:p>
  <w:p>
    <w:pPr>
      <w:pStyle w:val="Header"/>
      <w:widowControl/>
      <w:jc w:val="end"/>
      <w:rPr>
        <w:b/>
        <w:sz w:val="24"/>
      </w:rPr>
    </w:pPr>
    <w:r>
      <w:rPr>
        <w:b/>
        <w:sz w:val="24"/>
      </w:rPr>
      <w:t>OF 11-4-00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2000-11-06T06:30:00Z</dcterms:created>
  <dc:creator>ECT</dc:creator>
  <dc:description>THIS IS A FORM</dc:description>
  <dc:language>en-CA</dc:language>
  <cp:lastModifiedBy>svanhoo</cp:lastModifiedBy>
  <cp:lastPrinted>2000-10-31T15:03:00Z</cp:lastPrinted>
  <dcterms:modified xsi:type="dcterms:W3CDTF">2000-11-06T07:36:00Z</dcterms:modified>
  <cp:revision>11</cp:revision>
  <dc:subject>HPL and _____________</dc:subject>
  <dc:title>Interruptible GTA</dc:title>
</cp:coreProperties>
</file>