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sz w:val="36"/>
          <w:szCs w:val="36"/>
        </w:rPr>
      </w:pPr>
      <w:r>
        <w:rPr>
          <w:b/>
          <w:bCs/>
          <w:sz w:val="36"/>
          <w:szCs w:val="36"/>
        </w:rPr>
        <w:t>FIRM PIPELINE</w:t>
      </w:r>
    </w:p>
    <w:p>
      <w:pPr>
        <w:pStyle w:val="Normal"/>
        <w:jc w:val="center"/>
        <w:rPr>
          <w:b/>
          <w:bCs/>
          <w:sz w:val="36"/>
          <w:szCs w:val="36"/>
        </w:rPr>
      </w:pPr>
      <w:r>
        <w:rPr>
          <w:b/>
          <w:bCs/>
          <w:sz w:val="36"/>
          <w:szCs w:val="36"/>
        </w:rPr>
      </w:r>
    </w:p>
    <w:p>
      <w:pPr>
        <w:pStyle w:val="Normal"/>
        <w:jc w:val="center"/>
        <w:rPr>
          <w:b/>
          <w:bCs/>
          <w:sz w:val="36"/>
          <w:szCs w:val="36"/>
        </w:rPr>
      </w:pPr>
      <w:r>
        <w:rPr>
          <w:b/>
          <w:bCs/>
          <w:sz w:val="36"/>
          <w:szCs w:val="36"/>
        </w:rPr>
        <w:t>TRANSPORTATION</w:t>
      </w:r>
    </w:p>
    <w:p>
      <w:pPr>
        <w:pStyle w:val="Normal"/>
        <w:jc w:val="center"/>
        <w:rPr>
          <w:b/>
          <w:bCs/>
          <w:sz w:val="36"/>
          <w:szCs w:val="36"/>
        </w:rPr>
      </w:pPr>
      <w:r>
        <w:rPr>
          <w:b/>
          <w:bCs/>
          <w:sz w:val="36"/>
          <w:szCs w:val="36"/>
        </w:rPr>
      </w:r>
    </w:p>
    <w:p>
      <w:pPr>
        <w:pStyle w:val="Normal"/>
        <w:jc w:val="center"/>
        <w:rPr>
          <w:b/>
          <w:bCs/>
          <w:sz w:val="36"/>
          <w:szCs w:val="36"/>
        </w:rPr>
      </w:pPr>
      <w:r>
        <w:rPr>
          <w:b/>
          <w:bCs/>
          <w:sz w:val="36"/>
          <w:szCs w:val="36"/>
        </w:rPr>
        <w:t>CAPACITY RELEASE</w:t>
      </w:r>
    </w:p>
    <w:p>
      <w:pPr>
        <w:pStyle w:val="Normal"/>
        <w:jc w:val="center"/>
        <w:rPr>
          <w:b/>
          <w:bCs/>
          <w:sz w:val="36"/>
          <w:szCs w:val="36"/>
        </w:rPr>
      </w:pPr>
      <w:r>
        <w:rPr>
          <w:b/>
          <w:bCs/>
          <w:sz w:val="36"/>
          <w:szCs w:val="36"/>
        </w:rPr>
      </w:r>
    </w:p>
    <w:p>
      <w:pPr>
        <w:pStyle w:val="Normal"/>
        <w:jc w:val="center"/>
        <w:rPr>
          <w:b/>
          <w:bCs/>
          <w:sz w:val="36"/>
          <w:szCs w:val="36"/>
        </w:rPr>
      </w:pPr>
      <w:r>
        <w:rPr>
          <w:b/>
          <w:bCs/>
          <w:sz w:val="36"/>
          <w:szCs w:val="36"/>
        </w:rPr>
        <w:t>CONTRACT</w:t>
      </w:r>
    </w:p>
    <w:p>
      <w:pPr>
        <w:pStyle w:val="Normal"/>
        <w:jc w:val="center"/>
        <w:rPr>
          <w:b/>
          <w:bCs/>
          <w:sz w:val="28"/>
          <w:szCs w:val="28"/>
        </w:rPr>
      </w:pPr>
      <w:r>
        <w:rPr>
          <w:b/>
          <w:bCs/>
          <w:sz w:val="28"/>
          <w:szCs w:val="28"/>
        </w:rPr>
      </w:r>
      <w:r>
        <w:br w:type="page"/>
      </w:r>
    </w:p>
    <w:p>
      <w:pPr>
        <w:pStyle w:val="Normal"/>
        <w:jc w:val="center"/>
        <w:rPr>
          <w:b/>
          <w:bCs/>
          <w:sz w:val="32"/>
          <w:szCs w:val="32"/>
        </w:rPr>
      </w:pPr>
      <w:r>
        <w:rPr>
          <w:b/>
          <w:bCs/>
          <w:sz w:val="32"/>
          <w:szCs w:val="32"/>
        </w:rPr>
        <w:t>TABLE OF CONTENTS</w:t>
      </w:r>
    </w:p>
    <w:p>
      <w:pPr>
        <w:pStyle w:val="Normal"/>
        <w:pBdr>
          <w:bottom w:val="single" w:sz="12" w:space="1" w:color="000000"/>
        </w:pBdr>
        <w:jc w:val="center"/>
        <w:rPr>
          <w:b/>
          <w:bCs/>
          <w:sz w:val="32"/>
          <w:szCs w:val="32"/>
        </w:rPr>
      </w:pPr>
      <w:r>
        <w:rPr>
          <w:b/>
          <w:bCs/>
          <w:sz w:val="32"/>
          <w:szCs w:val="32"/>
        </w:rPr>
      </w:r>
    </w:p>
    <w:p>
      <w:pPr>
        <w:pStyle w:val="Normal"/>
        <w:jc w:val="center"/>
        <w:rPr>
          <w:b/>
          <w:bCs/>
        </w:rPr>
      </w:pPr>
      <w:r>
        <w:rPr>
          <w:b/>
          <w:bCs/>
        </w:rPr>
      </w:r>
    </w:p>
    <w:sdt>
      <w:sdtPr>
        <w:docPartObj>
          <w:docPartGallery w:val="Table of Contents"/>
          <w:docPartUnique w:val="true"/>
        </w:docPartObj>
      </w:sdtPr>
      <w:sdtContent>
        <w:p>
          <w:pPr>
            <w:pStyle w:val="TOC1"/>
            <w:rPr>
              <w:smallCaps/>
            </w:rPr>
          </w:pPr>
          <w:r>
            <w:fldChar w:fldCharType="begin"/>
          </w:r>
          <w:r>
            <w:rPr>
              <w:smallCaps/>
            </w:rPr>
            <w:instrText xml:space="preserve"> TOC \o "1-1" </w:instrText>
          </w:r>
          <w:r>
            <w:rPr>
              <w:smallCaps/>
            </w:rPr>
            <w:fldChar w:fldCharType="separate"/>
          </w:r>
          <w:r>
            <w:rPr>
              <w:smallCaps/>
            </w:rPr>
            <w:t xml:space="preserve"> </w:t>
          </w:r>
          <w:r>
            <w:rPr>
              <w:smallCaps/>
            </w:rPr>
            <w:t>1.</w:t>
            <w:tab/>
            <w:t xml:space="preserve"> DEFINITIONS</w:t>
            <w:tab/>
          </w:r>
          <w:r>
            <w:fldChar w:fldCharType="begin"/>
          </w:r>
          <w:r>
            <w:rPr>
              <w:smallCaps w:val="false"/>
              <w:caps w:val="false"/>
            </w:rPr>
            <w:instrText xml:space="preserve"> GOTOBUTTON _Toc315596161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2. </w:t>
            <w:tab/>
            <w:t>RIGHTS TO BE MADE AVAILABLE</w:t>
            <w:tab/>
          </w:r>
          <w:r>
            <w:fldChar w:fldCharType="begin"/>
          </w:r>
          <w:r>
            <w:rPr>
              <w:smallCaps w:val="false"/>
              <w:caps w:val="false"/>
            </w:rPr>
            <w:instrText xml:space="preserve"> GOTOBUTTON _Toc315596162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3. </w:t>
            <w:tab/>
            <w:t>RATES</w:t>
            <w:tab/>
          </w:r>
          <w:r>
            <w:fldChar w:fldCharType="begin"/>
          </w:r>
          <w:r>
            <w:rPr>
              <w:smallCaps w:val="false"/>
              <w:caps w:val="false"/>
            </w:rPr>
            <w:instrText xml:space="preserve"> GOTOBUTTON _Toc315596163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4. </w:t>
            <w:tab/>
            <w:t>OPERATIONS</w:t>
            <w:tab/>
          </w:r>
          <w:r>
            <w:fldChar w:fldCharType="begin"/>
          </w:r>
          <w:r>
            <w:rPr>
              <w:smallCaps w:val="false"/>
              <w:caps w:val="false"/>
            </w:rPr>
            <w:instrText xml:space="preserve"> GOTOBUTTON _Toc315596164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5. </w:t>
            <w:tab/>
            <w:t>TERM OF CONTRACT</w:t>
            <w:tab/>
          </w:r>
          <w:r>
            <w:fldChar w:fldCharType="begin"/>
          </w:r>
          <w:r>
            <w:rPr>
              <w:smallCaps w:val="false"/>
              <w:caps w:val="false"/>
            </w:rPr>
            <w:instrText xml:space="preserve"> GOTOBUTTON _Toc315596165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6. </w:t>
            <w:tab/>
            <w:t>WARRANTY</w:t>
            <w:tab/>
          </w:r>
          <w:r>
            <w:fldChar w:fldCharType="begin"/>
          </w:r>
          <w:r>
            <w:rPr>
              <w:smallCaps w:val="false"/>
              <w:caps w:val="false"/>
            </w:rPr>
            <w:instrText xml:space="preserve"> GOTOBUTTON _Toc315596166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7. </w:t>
            <w:tab/>
            <w:t>OTHER PROVISIONS</w:t>
            <w:tab/>
          </w:r>
          <w:r>
            <w:fldChar w:fldCharType="begin"/>
          </w:r>
          <w:r>
            <w:rPr>
              <w:smallCaps w:val="false"/>
              <w:caps w:val="false"/>
            </w:rPr>
            <w:instrText xml:space="preserve"> GOTOBUTTON _Toc315596167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8. </w:t>
            <w:tab/>
            <w:t>INDEMNIFICATION</w:t>
            <w:tab/>
          </w:r>
          <w:r>
            <w:fldChar w:fldCharType="begin"/>
          </w:r>
          <w:r>
            <w:rPr>
              <w:smallCaps w:val="false"/>
              <w:caps w:val="false"/>
            </w:rPr>
            <w:instrText xml:space="preserve"> GOTOBUTTON _Toc315596168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9. </w:t>
            <w:tab/>
            <w:t>AUTHORITY</w:t>
            <w:tab/>
          </w:r>
          <w:r>
            <w:fldChar w:fldCharType="begin"/>
          </w:r>
          <w:r>
            <w:rPr>
              <w:smallCaps w:val="false"/>
              <w:caps w:val="false"/>
            </w:rPr>
            <w:instrText xml:space="preserve"> GOTOBUTTON _Toc315596170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TOC2"/>
        <w:rPr>
          <w:caps/>
          <w:color w:val="auto"/>
          <w:sz w:val="20"/>
          <w:szCs w:val="20"/>
        </w:rPr>
      </w:pPr>
      <w:r>
        <w:rPr>
          <w:caps/>
          <w:color w:val="auto"/>
          <w:sz w:val="20"/>
          <w:szCs w:val="20"/>
        </w:rPr>
      </w:r>
    </w:p>
    <w:p>
      <w:pPr>
        <w:pStyle w:val="Normal"/>
        <w:jc w:val="center"/>
        <w:rPr/>
      </w:pPr>
      <w:r>
        <w:rPr/>
      </w:r>
    </w:p>
    <w:p>
      <w:pPr>
        <w:pStyle w:val="Normal"/>
        <w:jc w:val="center"/>
        <w:rPr/>
      </w:pPr>
      <w:r>
        <w:rPr/>
      </w:r>
      <w:r>
        <w:br w:type="page"/>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rPr>
      </w:pPr>
      <w:r>
        <w:rPr>
          <w:b/>
          <w:bCs/>
        </w:rPr>
        <w:t>FIRM PIPELINE TRANSPORTATION</w:t>
      </w:r>
    </w:p>
    <w:p>
      <w:pPr>
        <w:pStyle w:val="Normal"/>
        <w:jc w:val="center"/>
        <w:rPr>
          <w:b/>
          <w:bCs/>
        </w:rPr>
      </w:pPr>
      <w:r>
        <w:rPr>
          <w:b/>
          <w:bCs/>
        </w:rPr>
        <w:t>CAPACITY RELEASE CONTRACT</w:t>
      </w:r>
    </w:p>
    <w:p>
      <w:pPr>
        <w:pStyle w:val="Normal"/>
        <w:rPr>
          <w:b/>
          <w:bCs/>
        </w:rPr>
      </w:pPr>
      <w:r>
        <w:rPr>
          <w:b/>
          <w:bCs/>
        </w:rPr>
      </w:r>
    </w:p>
    <w:p>
      <w:pPr>
        <w:pStyle w:val="Normal"/>
        <w:rPr/>
      </w:pPr>
      <w:r>
        <w:rPr/>
      </w:r>
    </w:p>
    <w:p>
      <w:pPr>
        <w:pStyle w:val="Normal"/>
        <w:jc w:val="both"/>
        <w:rPr/>
      </w:pPr>
      <w:r>
        <w:rPr/>
        <w:tab/>
        <w:t>This Firm Pipeline Transportation Capacity Release Contract is made this ____ day of February, 1995, by and between Louisville Gas and Electric Company, having its principal offices at 220 West Main Street, Louisville, Kentucky 40202 (hereinafter referred to as “Company”) and Enron Capital &amp; Trade Resources Corp., having its principal offices at 1400 Smith Street, Houston, Texas  77002 (hereinafter referred to as “Replacement Shipper”).</w:t>
      </w:r>
    </w:p>
    <w:p>
      <w:pPr>
        <w:pStyle w:val="Normal"/>
        <w:jc w:val="both"/>
        <w:rPr/>
      </w:pPr>
      <w:r>
        <w:rPr/>
      </w:r>
    </w:p>
    <w:p>
      <w:pPr>
        <w:pStyle w:val="Normal"/>
        <w:jc w:val="center"/>
        <w:rPr>
          <w:b/>
          <w:bCs/>
          <w:spacing w:val="20"/>
        </w:rPr>
      </w:pPr>
      <w:r>
        <w:rPr>
          <w:b/>
          <w:bCs/>
          <w:spacing w:val="20"/>
        </w:rPr>
        <w:t>WITNESSETH</w:t>
      </w:r>
    </w:p>
    <w:p>
      <w:pPr>
        <w:pStyle w:val="Normal"/>
        <w:rPr>
          <w:b/>
          <w:bCs/>
          <w:spacing w:val="20"/>
        </w:rPr>
      </w:pPr>
      <w:r>
        <w:rPr>
          <w:b/>
          <w:bCs/>
          <w:spacing w:val="20"/>
        </w:rPr>
      </w:r>
    </w:p>
    <w:p>
      <w:pPr>
        <w:pStyle w:val="Normal"/>
        <w:rPr/>
      </w:pPr>
      <w:r>
        <w:rPr>
          <w:b/>
          <w:bCs/>
        </w:rPr>
        <w:tab/>
        <w:t>WHEREAS</w:t>
      </w:r>
      <w:r>
        <w:rPr/>
        <w:t>, Company has capacity it desires to release to Replacement Shipper; and</w:t>
      </w:r>
    </w:p>
    <w:p>
      <w:pPr>
        <w:pStyle w:val="Normal"/>
        <w:rPr/>
      </w:pPr>
      <w:r>
        <w:rPr/>
      </w:r>
    </w:p>
    <w:p>
      <w:pPr>
        <w:pStyle w:val="Normal"/>
        <w:rPr/>
      </w:pPr>
      <w:r>
        <w:rPr>
          <w:b/>
          <w:bCs/>
        </w:rPr>
        <w:tab/>
        <w:t xml:space="preserve">WHEREAS, </w:t>
      </w:r>
      <w:r>
        <w:rPr/>
        <w:t>Replacement Shipper desires to use capacity of Company;</w:t>
      </w:r>
    </w:p>
    <w:p>
      <w:pPr>
        <w:pStyle w:val="Normal"/>
        <w:rPr/>
      </w:pPr>
      <w:r>
        <w:rPr/>
      </w:r>
    </w:p>
    <w:p>
      <w:pPr>
        <w:pStyle w:val="Normal"/>
        <w:rPr/>
      </w:pPr>
      <w:r>
        <w:rPr/>
        <w:tab/>
      </w:r>
      <w:r>
        <w:rPr>
          <w:b/>
          <w:bCs/>
        </w:rPr>
        <w:t xml:space="preserve">NOW, THEREFORE, </w:t>
      </w:r>
      <w:r>
        <w:rPr/>
        <w:t>in consideration of the premises and of the mutual covenants hereinafter set forth, the Parties hereto covenant and agree as follows:</w:t>
      </w:r>
    </w:p>
    <w:p>
      <w:pPr>
        <w:pStyle w:val="Normal"/>
        <w:rPr/>
      </w:pPr>
      <w:r>
        <w:rPr/>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pPr>
      <w:r>
        <w:rPr/>
      </w:r>
    </w:p>
    <w:p>
      <w:pPr>
        <w:pStyle w:val="Heading2"/>
        <w:rPr/>
      </w:pPr>
      <w:r>
        <w:rPr/>
        <w:fldChar w:fldCharType="begin"/>
      </w:r>
      <w:r>
        <w:rPr/>
        <w:instrText xml:space="preserve"> SEQ AutoNr \* ARABIC </w:instrText>
      </w:r>
      <w:r>
        <w:rPr/>
        <w:fldChar w:fldCharType="separate"/>
      </w:r>
      <w:r>
        <w:rPr/>
        <w:t>2</w:t>
      </w:r>
      <w:r>
        <w:rPr/>
        <w:fldChar w:fldCharType="end"/>
      </w:r>
      <w:r>
        <w:rPr/>
        <w:tab/>
        <w:t>The term “Contract” shall mean this Firm Pipeline Transportation Release Capacity Contract.</w:t>
      </w:r>
    </w:p>
    <w:p>
      <w:pPr>
        <w:pStyle w:val="Heading2"/>
        <w:rPr/>
      </w:pPr>
      <w:r>
        <w:rPr/>
        <w:fldChar w:fldCharType="begin"/>
      </w:r>
      <w:r>
        <w:rPr/>
        <w:instrText xml:space="preserve"> SEQ AutoNr \* ARABIC </w:instrText>
      </w:r>
      <w:r>
        <w:rPr/>
        <w:fldChar w:fldCharType="separate"/>
      </w:r>
      <w:r>
        <w:rPr/>
        <w:t>3</w:t>
      </w:r>
      <w:r>
        <w:rPr/>
        <w:fldChar w:fldCharType="end"/>
      </w:r>
      <w:r>
        <w:rPr/>
        <w:tab/>
        <w:t>The term “Exhibit A” shall mean that Exhibit, if any, which sets forth the Hourly Maximum Delivery Rights, Daily Maximum Delivery Rights and Volumetric Maximum Delivery Rights for use by Replacement Shipper.</w:t>
      </w:r>
    </w:p>
    <w:p>
      <w:pPr>
        <w:pStyle w:val="Heading2"/>
        <w:rPr/>
      </w:pPr>
      <w:r>
        <w:rPr/>
        <w:fldChar w:fldCharType="begin"/>
      </w:r>
      <w:r>
        <w:rPr/>
        <w:instrText xml:space="preserve"> SEQ AutoNr \* ARABIC </w:instrText>
      </w:r>
      <w:r>
        <w:rPr/>
        <w:fldChar w:fldCharType="separate"/>
      </w:r>
      <w:r>
        <w:rPr/>
        <w:t>4</w:t>
      </w:r>
      <w:r>
        <w:rPr/>
        <w:fldChar w:fldCharType="end"/>
      </w:r>
      <w:r>
        <w:rPr/>
        <w:tab/>
        <w:t>The term “Pipeline Transportation Contract” shall mean the agreement in effect between Transporter and Company under which Company is able to transport natural gas through the system of Transporter.</w:t>
      </w:r>
    </w:p>
    <w:p>
      <w:pPr>
        <w:pStyle w:val="Heading2"/>
        <w:rPr/>
      </w:pPr>
      <w:r>
        <w:rPr/>
        <w:fldChar w:fldCharType="begin"/>
      </w:r>
      <w:r>
        <w:rPr/>
        <w:instrText xml:space="preserve"> SEQ AutoNr \* ARABIC </w:instrText>
      </w:r>
      <w:r>
        <w:rPr/>
        <w:fldChar w:fldCharType="separate"/>
      </w:r>
      <w:r>
        <w:rPr/>
        <w:t>5</w:t>
      </w:r>
      <w:r>
        <w:rPr/>
        <w:fldChar w:fldCharType="end"/>
      </w:r>
      <w:r>
        <w:rPr/>
        <w:tab/>
        <w:t>The term “Transporter” shall mean Texas Gas Transmission Corporation, unless otherwise specified.</w:t>
      </w:r>
    </w:p>
    <w:p>
      <w:pPr>
        <w:pStyle w:val="Heading2"/>
        <w:rPr/>
      </w:pPr>
      <w:r>
        <w:rPr/>
        <w:fldChar w:fldCharType="begin"/>
      </w:r>
      <w:r>
        <w:rPr/>
        <w:instrText xml:space="preserve"> SEQ AutoNr \* ARABIC </w:instrText>
      </w:r>
      <w:r>
        <w:rPr/>
        <w:fldChar w:fldCharType="separate"/>
      </w:r>
      <w:r>
        <w:rPr/>
        <w:t>6</w:t>
      </w:r>
      <w:r>
        <w:rPr/>
        <w:fldChar w:fldCharType="end"/>
      </w:r>
      <w:r>
        <w:rPr/>
        <w:tab/>
        <w:t>The term “Transporter’s Tariff” shall mean the FERC Gas Tariff of Transporter.</w:t>
      </w:r>
    </w:p>
    <w:p>
      <w:pPr>
        <w:pStyle w:val="Heading2"/>
        <w:rPr/>
      </w:pPr>
      <w:r>
        <w:rPr/>
        <w:fldChar w:fldCharType="begin"/>
      </w:r>
      <w:r>
        <w:rPr/>
        <w:instrText xml:space="preserve"> SEQ AutoNr \* ARABIC </w:instrText>
      </w:r>
      <w:r>
        <w:rPr/>
        <w:fldChar w:fldCharType="separate"/>
      </w:r>
      <w:r>
        <w:rPr/>
        <w:t>7</w:t>
      </w:r>
      <w:r>
        <w:rPr/>
        <w:fldChar w:fldCharType="end"/>
      </w:r>
      <w:r>
        <w:rPr/>
        <w:tab/>
        <w:t>The term “Company’s Tariff” shall mean Louisville Gas and Electric Company’s Tariff for Natural Gas Service as filed with the Public Service Commission of Kentucky.</w:t>
      </w:r>
    </w:p>
    <w:p>
      <w:pPr>
        <w:pStyle w:val="Heading2"/>
        <w:rPr/>
      </w:pPr>
      <w:r>
        <w:rPr/>
        <w:fldChar w:fldCharType="begin"/>
      </w:r>
      <w:r>
        <w:rPr/>
        <w:instrText xml:space="preserve"> SEQ AutoNr \* ARABIC </w:instrText>
      </w:r>
      <w:r>
        <w:rPr/>
        <w:fldChar w:fldCharType="separate"/>
      </w:r>
      <w:r>
        <w:rPr/>
        <w:t>8</w:t>
      </w:r>
      <w:r>
        <w:rPr/>
        <w:fldChar w:fldCharType="end"/>
      </w:r>
      <w:r>
        <w:rPr/>
        <w:tab/>
        <w:t>The term “FERC” shall mean the Federal Energy Regulatory Commission, or any other successor agency having jurisdiction.</w:t>
      </w:r>
    </w:p>
    <w:p>
      <w:pPr>
        <w:pStyle w:val="Heading2"/>
        <w:rPr/>
      </w:pPr>
      <w:r>
        <w:rPr/>
        <w:fldChar w:fldCharType="begin"/>
      </w:r>
      <w:r>
        <w:rPr/>
        <w:instrText xml:space="preserve"> SEQ AutoNr \* ARABIC </w:instrText>
      </w:r>
      <w:r>
        <w:rPr/>
        <w:fldChar w:fldCharType="separate"/>
      </w:r>
      <w:r>
        <w:rPr/>
        <w:t>9</w:t>
      </w:r>
      <w:r>
        <w:rPr/>
        <w:fldChar w:fldCharType="end"/>
      </w:r>
      <w:r>
        <w:rPr/>
        <w:tab/>
        <w:t>The term “KYPSC” shall mean the Public Service Commission of Kentucky, or any other successor agency having jurisdiction.</w:t>
      </w:r>
    </w:p>
    <w:p>
      <w:pPr>
        <w:pStyle w:val="Heading2"/>
        <w:rPr/>
      </w:pPr>
      <w:r>
        <w:rPr/>
        <w:fldChar w:fldCharType="begin"/>
      </w:r>
      <w:r>
        <w:rPr/>
        <w:instrText xml:space="preserve"> SEQ AutoNr \* ARABIC </w:instrText>
      </w:r>
      <w:r>
        <w:rPr/>
        <w:fldChar w:fldCharType="separate"/>
      </w:r>
      <w:r>
        <w:rPr/>
        <w:t>10</w:t>
      </w:r>
      <w:r>
        <w:rPr/>
        <w:fldChar w:fldCharType="end"/>
      </w:r>
      <w:r>
        <w:rPr/>
        <w:tab/>
        <w:t>The term “Hourly Maximum Delivery Rights” shall mean the maximum quantity deliverable under this contract during any hour by Replacement Shipper.</w:t>
      </w:r>
    </w:p>
    <w:p>
      <w:pPr>
        <w:pStyle w:val="Heading2"/>
        <w:rPr/>
      </w:pPr>
      <w:r>
        <w:rPr/>
        <w:fldChar w:fldCharType="begin"/>
      </w:r>
      <w:r>
        <w:rPr/>
        <w:instrText xml:space="preserve"> SEQ AutoNr \* ARABIC </w:instrText>
      </w:r>
      <w:r>
        <w:rPr/>
        <w:fldChar w:fldCharType="separate"/>
      </w:r>
      <w:r>
        <w:rPr/>
        <w:t>11</w:t>
      </w:r>
      <w:r>
        <w:rPr/>
        <w:fldChar w:fldCharType="end"/>
      </w:r>
      <w:r>
        <w:rPr/>
        <w:tab/>
        <w:t>The term “Daily Maximum Delivery Rights” shall mean the maximum quantity deliverable under this Contract during any hour by Replacement Shipper.</w:t>
      </w:r>
    </w:p>
    <w:p>
      <w:pPr>
        <w:pStyle w:val="Heading2"/>
        <w:rPr/>
      </w:pPr>
      <w:r>
        <w:rPr/>
        <w:fldChar w:fldCharType="begin"/>
      </w:r>
      <w:r>
        <w:rPr/>
        <w:instrText xml:space="preserve"> SEQ AutoNr \* ARABIC </w:instrText>
      </w:r>
      <w:r>
        <w:rPr/>
        <w:fldChar w:fldCharType="separate"/>
      </w:r>
      <w:r>
        <w:rPr/>
        <w:t>12</w:t>
      </w:r>
      <w:r>
        <w:rPr/>
        <w:fldChar w:fldCharType="end"/>
      </w:r>
      <w:r>
        <w:rPr/>
        <w:tab/>
        <w:t>The term “Volumetric Maximum Delivery Rights” shall mean the maximum volumetric amounts deliverable under this Contract by Replacement Shipper.</w:t>
      </w:r>
    </w:p>
    <w:p>
      <w:pPr>
        <w:pStyle w:val="Heading2"/>
        <w:rPr/>
      </w:pPr>
      <w:r>
        <w:rPr/>
        <w:fldChar w:fldCharType="begin"/>
      </w:r>
      <w:r>
        <w:rPr/>
        <w:instrText xml:space="preserve"> SEQ AutoNr \* ARABIC </w:instrText>
      </w:r>
      <w:r>
        <w:rPr/>
        <w:fldChar w:fldCharType="separate"/>
      </w:r>
      <w:r>
        <w:rPr/>
        <w:t>13</w:t>
      </w:r>
      <w:r>
        <w:rPr/>
        <w:fldChar w:fldCharType="end"/>
      </w:r>
      <w:r>
        <w:rPr/>
        <w:tab/>
        <w:t>The term “Term of Release” shall mean that period during which Replacement Shipper may use the capacity rights made available under this Contract.</w:t>
      </w:r>
    </w:p>
    <w:p>
      <w:pPr>
        <w:pStyle w:val="Heading2"/>
        <w:rPr/>
      </w:pPr>
      <w:r>
        <w:rPr/>
        <w:fldChar w:fldCharType="begin"/>
      </w:r>
      <w:r>
        <w:rPr/>
        <w:instrText xml:space="preserve"> SEQ AutoNr \* ARABIC </w:instrText>
      </w:r>
      <w:r>
        <w:rPr/>
        <w:fldChar w:fldCharType="separate"/>
      </w:r>
      <w:r>
        <w:rPr/>
        <w:t>14</w:t>
      </w:r>
      <w:r>
        <w:rPr/>
        <w:fldChar w:fldCharType="end"/>
      </w:r>
      <w:r>
        <w:rPr/>
        <w:tab/>
        <w:t>The term “Pipeline Segment” shall mean that portion of Transporter’s system from the Point (s) of Receipt to the Point (s) of Delivery which Replacement Shipper is authorized to use pursuant to the terms of this Contract.</w:t>
      </w:r>
    </w:p>
    <w:p>
      <w:pPr>
        <w:pStyle w:val="Heading2"/>
        <w:rPr/>
      </w:pPr>
      <w:r>
        <w:rPr/>
        <w:fldChar w:fldCharType="begin"/>
      </w:r>
      <w:r>
        <w:rPr/>
        <w:instrText xml:space="preserve"> SEQ AutoNr \* ARABIC </w:instrText>
      </w:r>
      <w:r>
        <w:rPr/>
        <w:fldChar w:fldCharType="separate"/>
      </w:r>
      <w:r>
        <w:rPr/>
        <w:t>15</w:t>
      </w:r>
      <w:r>
        <w:rPr/>
        <w:fldChar w:fldCharType="end"/>
      </w:r>
      <w:r>
        <w:rPr/>
        <w:tab/>
        <w:t>The term “Daily Demand Charge” shall mean the applicable rate (s) for service billed by Transporter on a daily demand basis and set forth in Transporter’s Tariff for service under Rate FT for Firm Transportation Service.</w:t>
      </w:r>
    </w:p>
    <w:p>
      <w:pPr>
        <w:pStyle w:val="Heading2"/>
        <w:rPr/>
      </w:pPr>
      <w:r>
        <w:rPr/>
        <w:fldChar w:fldCharType="begin"/>
      </w:r>
      <w:r>
        <w:rPr/>
        <w:instrText xml:space="preserve"> SEQ AutoNr \* ARABIC </w:instrText>
      </w:r>
      <w:r>
        <w:rPr/>
        <w:fldChar w:fldCharType="separate"/>
      </w:r>
      <w:r>
        <w:rPr/>
        <w:t>16</w:t>
      </w:r>
      <w:r>
        <w:rPr/>
        <w:fldChar w:fldCharType="end"/>
      </w:r>
      <w:r>
        <w:rPr/>
        <w:tab/>
        <w:t>The term “Commodity Charge” shall mean the applicable rate (s) for service billed by Transporter on a commodity or volumetric basis and set forth in Transporter’s Tariff for service under Rate FT for Firm Transportation Service.</w:t>
      </w:r>
    </w:p>
    <w:p>
      <w:pPr>
        <w:pStyle w:val="Heading2"/>
        <w:rPr/>
      </w:pPr>
      <w:r>
        <w:rPr/>
        <w:fldChar w:fldCharType="begin"/>
      </w:r>
      <w:r>
        <w:rPr/>
        <w:instrText xml:space="preserve"> SEQ AutoNr \* ARABIC </w:instrText>
      </w:r>
      <w:r>
        <w:rPr/>
        <w:fldChar w:fldCharType="separate"/>
      </w:r>
      <w:r>
        <w:rPr/>
        <w:t>17</w:t>
      </w:r>
      <w:r>
        <w:rPr/>
        <w:fldChar w:fldCharType="end"/>
      </w:r>
      <w:r>
        <w:rPr/>
        <w:tab/>
        <w:t>The term “Point (s) of Receipt” or “Receipt Point”  shall mean the point or points on Transporter’s pipeline system where gas is delivered by Replacement Shipper or company to Transporter for transportation to Replacement Shipper or Company, respectively.</w:t>
      </w:r>
    </w:p>
    <w:p>
      <w:pPr>
        <w:pStyle w:val="Heading2"/>
        <w:rPr/>
      </w:pPr>
      <w:r>
        <w:rPr/>
        <w:fldChar w:fldCharType="begin"/>
      </w:r>
      <w:r>
        <w:rPr/>
        <w:instrText xml:space="preserve"> SEQ AutoNr \* ARABIC </w:instrText>
      </w:r>
      <w:r>
        <w:rPr/>
        <w:fldChar w:fldCharType="separate"/>
      </w:r>
      <w:r>
        <w:rPr/>
        <w:t>18</w:t>
      </w:r>
      <w:r>
        <w:rPr/>
        <w:fldChar w:fldCharType="end"/>
      </w:r>
      <w:r>
        <w:rPr/>
        <w:tab/>
        <w:t>The term “Point (s) of Delivery” or “Delivery Point (s)” shall mean the point or points on Transporter’s pipeline system where gas is delivered by Transporter to Replacement Shipper or Company.</w:t>
      </w:r>
    </w:p>
    <w:p>
      <w:pPr>
        <w:pStyle w:val="Justified"/>
        <w:ind w:firstLine="720" w:end="0"/>
        <w:rPr/>
      </w:pPr>
      <w:r>
        <w:rPr/>
        <w:t>1.22</w:t>
        <w:tab/>
        <w:t>The term “Transportation Arrangement” shall have the meaning set forth in Section 2.5 below.</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Rights to be made available</w:t>
      </w:r>
    </w:p>
    <w:p>
      <w:pPr>
        <w:pStyle w:val="Heading2"/>
        <w:rPr/>
      </w:pPr>
      <w:r>
        <w:rPr/>
      </w:r>
    </w:p>
    <w:p>
      <w:pPr>
        <w:pStyle w:val="Heading2"/>
        <w:rPr/>
      </w:pPr>
      <w:r>
        <w:rPr/>
        <w:fldChar w:fldCharType="begin"/>
      </w:r>
      <w:r>
        <w:rPr/>
        <w:instrText xml:space="preserve"> SEQ AutoNr \* ARABIC </w:instrText>
      </w:r>
      <w:r>
        <w:rPr/>
        <w:fldChar w:fldCharType="separate"/>
      </w:r>
      <w:r>
        <w:rPr/>
        <w:t>20</w:t>
      </w:r>
      <w:r>
        <w:rPr/>
        <w:fldChar w:fldCharType="end"/>
      </w:r>
      <w:r>
        <w:rPr/>
        <w:tab/>
        <w:t>This Firm Pipeline Transportation Capacity Release Contract is intended to be a master form contract applicable to one or more specific transactions which shall be detailed in Exhibit A, as it may be amended from time to time.  More than one effective Exhibit A may be in effect at the same time.</w:t>
      </w:r>
    </w:p>
    <w:p>
      <w:pPr>
        <w:pStyle w:val="Heading2"/>
        <w:rPr/>
      </w:pPr>
      <w:r>
        <w:rPr/>
        <w:fldChar w:fldCharType="begin"/>
      </w:r>
      <w:r>
        <w:rPr/>
        <w:instrText xml:space="preserve"> SEQ AutoNr \* ARABIC </w:instrText>
      </w:r>
      <w:r>
        <w:rPr/>
        <w:fldChar w:fldCharType="separate"/>
      </w:r>
      <w:r>
        <w:rPr/>
        <w:t>21</w:t>
      </w:r>
      <w:r>
        <w:rPr/>
        <w:fldChar w:fldCharType="end"/>
      </w:r>
      <w:r>
        <w:rPr/>
        <w:tab/>
        <w:t>In accordance with the terms of this Contract and the applicable Exhibit A, Company agrees to make available to Replacement Shipper certain of Company’s rights under the Pipeline Transportation Contract identified in the applicable Exhibit A.</w:t>
      </w:r>
    </w:p>
    <w:p>
      <w:pPr>
        <w:pStyle w:val="Heading2"/>
        <w:rPr/>
      </w:pPr>
      <w:r>
        <w:rPr/>
        <w:fldChar w:fldCharType="begin"/>
      </w:r>
      <w:r>
        <w:rPr/>
        <w:instrText xml:space="preserve"> SEQ AutoNr \* ARABIC </w:instrText>
      </w:r>
      <w:r>
        <w:rPr/>
        <w:fldChar w:fldCharType="separate"/>
      </w:r>
      <w:r>
        <w:rPr/>
        <w:t>22</w:t>
      </w:r>
      <w:r>
        <w:rPr/>
        <w:fldChar w:fldCharType="end"/>
      </w:r>
      <w:r>
        <w:rPr/>
        <w:tab/>
        <w:t>This Contract is not an assignment of the Pipeline Transpiration Contract.</w:t>
      </w:r>
    </w:p>
    <w:p>
      <w:pPr>
        <w:pStyle w:val="Heading2"/>
        <w:rPr/>
      </w:pPr>
      <w:r>
        <w:rPr/>
        <w:fldChar w:fldCharType="begin"/>
      </w:r>
      <w:r>
        <w:rPr/>
        <w:instrText xml:space="preserve"> SEQ AutoNr \* ARABIC </w:instrText>
      </w:r>
      <w:r>
        <w:rPr/>
        <w:fldChar w:fldCharType="separate"/>
      </w:r>
      <w:r>
        <w:rPr/>
        <w:t>23</w:t>
      </w:r>
      <w:r>
        <w:rPr/>
        <w:fldChar w:fldCharType="end"/>
      </w:r>
      <w:r>
        <w:rPr/>
        <w:tab/>
        <w:t>This Contract and the availability of such rights to Replacement Shipper hereunder shall be subject to the Transporter’s Tariff, and the applicable rules and regulations of the FERC.</w:t>
      </w:r>
    </w:p>
    <w:p>
      <w:pPr>
        <w:pStyle w:val="Heading2"/>
        <w:rPr/>
      </w:pPr>
      <w:r>
        <w:rPr/>
        <w:fldChar w:fldCharType="begin"/>
      </w:r>
      <w:r>
        <w:rPr/>
        <w:instrText xml:space="preserve"> SEQ AutoNr \* ARABIC </w:instrText>
      </w:r>
      <w:r>
        <w:rPr/>
        <w:fldChar w:fldCharType="separate"/>
      </w:r>
      <w:r>
        <w:rPr/>
        <w:t>24</w:t>
      </w:r>
      <w:r>
        <w:rPr/>
        <w:fldChar w:fldCharType="end"/>
      </w:r>
      <w:r>
        <w:rPr/>
        <w:tab/>
        <w:t>Replacement Shipper’s use and Company’s furnishing of capacity rights on Transporter’s pipeline system shall not exceed the Hourly Maximum Delivery Rights, Daily Maximum Delivery Rights, and Volumetric Maximum Delivery Rights specified in Exhibit A; provided, however, if none are so specified, the terms of the applicable transportation arrangement using the released capacity that is entered into between Replacement Shipper and Transporter for the Term of Release (the “Transportation Arrangement”) shall nevertheless govern.</w:t>
      </w:r>
    </w:p>
    <w:p>
      <w:pPr>
        <w:pStyle w:val="Heading2"/>
        <w:rPr/>
      </w:pPr>
      <w:r>
        <w:rPr/>
        <w:fldChar w:fldCharType="begin"/>
      </w:r>
      <w:r>
        <w:rPr/>
        <w:instrText xml:space="preserve"> SEQ AutoNr \* ARABIC </w:instrText>
      </w:r>
      <w:r>
        <w:rPr/>
        <w:fldChar w:fldCharType="separate"/>
      </w:r>
      <w:r>
        <w:rPr/>
        <w:t>25</w:t>
      </w:r>
      <w:r>
        <w:rPr/>
        <w:fldChar w:fldCharType="end"/>
      </w:r>
      <w:r>
        <w:rPr/>
        <w:tab/>
        <w:t>In no event may Company recall or interrupt Replacement Shipper’s use of pipeline transportation rights granted under this Contract or under the Transportation Arrangement.  This is due to the fact that the released capacity rights that serve as the basis for the Transportation Arrangement are non-recallable.</w:t>
      </w:r>
    </w:p>
    <w:p>
      <w:pPr>
        <w:pStyle w:val="Heading1"/>
        <w:ind w:hanging="0" w:start="0"/>
        <w:rPr/>
      </w:pPr>
      <w:r>
        <w:rPr/>
        <w:t xml:space="preserve">article </w:t>
      </w:r>
      <w:r>
        <w:rPr/>
        <w:fldChar w:fldCharType="begin"/>
      </w:r>
      <w:r>
        <w:rPr/>
        <w:instrText xml:space="preserve"> SEQ AutoNr \* ARABIC </w:instrText>
      </w:r>
      <w:r>
        <w:rPr/>
        <w:fldChar w:fldCharType="separate"/>
      </w:r>
      <w:r>
        <w:rPr/>
        <w:t>26</w:t>
      </w:r>
      <w:r>
        <w:rPr/>
        <w:fldChar w:fldCharType="end"/>
      </w:r>
      <w:r>
        <w:rPr/>
        <w:br/>
        <w:t>rates</w:t>
      </w:r>
    </w:p>
    <w:p>
      <w:pPr>
        <w:pStyle w:val="Heading2"/>
        <w:rPr/>
      </w:pPr>
      <w:r>
        <w:rPr/>
        <w:fldChar w:fldCharType="begin"/>
      </w:r>
      <w:r>
        <w:rPr/>
        <w:instrText xml:space="preserve"> SEQ AutoNr \* ARABIC </w:instrText>
      </w:r>
      <w:r>
        <w:rPr/>
        <w:fldChar w:fldCharType="separate"/>
      </w:r>
      <w:r>
        <w:rPr/>
        <w:t>27</w:t>
      </w:r>
      <w:r>
        <w:rPr/>
        <w:fldChar w:fldCharType="end"/>
      </w:r>
      <w:r>
        <w:rPr/>
        <w:tab/>
        <w:t>Replacement Shipper covenants and agrees to pay Transporter the amount that it has contracted to pay Transporter under the terms of the Transportation Arrangement for transportation services received from Transporter using released capacity that is the subject of such transaction.</w:t>
      </w:r>
    </w:p>
    <w:p>
      <w:pPr>
        <w:pStyle w:val="Heading2"/>
        <w:rPr/>
      </w:pPr>
      <w:r>
        <w:rPr/>
        <w:fldChar w:fldCharType="begin"/>
      </w:r>
      <w:r>
        <w:rPr/>
        <w:instrText xml:space="preserve"> SEQ AutoNr \* ARABIC </w:instrText>
      </w:r>
      <w:r>
        <w:rPr/>
        <w:fldChar w:fldCharType="separate"/>
      </w:r>
      <w:r>
        <w:rPr/>
        <w:t>28</w:t>
      </w:r>
      <w:r>
        <w:rPr/>
        <w:fldChar w:fldCharType="end"/>
      </w:r>
      <w:r>
        <w:rPr/>
        <w:tab/>
        <w:t>Replacement Shipper shall be responsible for any fuel retention or fuel costs as specified by Transporter in Transporter’s Tariff.</w:t>
      </w:r>
    </w:p>
    <w:p>
      <w:pPr>
        <w:pStyle w:val="Heading2"/>
        <w:rPr/>
      </w:pPr>
      <w:r>
        <w:rPr/>
        <w:fldChar w:fldCharType="begin"/>
      </w:r>
      <w:r>
        <w:rPr/>
        <w:instrText xml:space="preserve"> SEQ AutoNr \* ARABIC </w:instrText>
      </w:r>
      <w:r>
        <w:rPr/>
        <w:fldChar w:fldCharType="separate"/>
      </w:r>
      <w:r>
        <w:rPr/>
        <w:t>29</w:t>
      </w:r>
      <w:r>
        <w:rPr/>
        <w:fldChar w:fldCharType="end"/>
      </w:r>
      <w:r>
        <w:rPr/>
        <w:tab/>
        <w:t>Replacement Shipper understands and agrees that any costs allocated on the basis of the quantities released to Replacement Shipper for the period of such release by Company will remain the responsibility of the Replacement Shipper even if such costs are billed after the termination of either the applicable Exhibit A or this Contract.</w:t>
      </w:r>
    </w:p>
    <w:p>
      <w:pPr>
        <w:pStyle w:val="Heading2"/>
        <w:rPr/>
      </w:pPr>
      <w:r>
        <w:rPr/>
        <w:fldChar w:fldCharType="begin"/>
      </w:r>
      <w:r>
        <w:rPr/>
        <w:instrText xml:space="preserve"> SEQ AutoNr \* ARABIC </w:instrText>
      </w:r>
      <w:r>
        <w:rPr/>
        <w:fldChar w:fldCharType="separate"/>
      </w:r>
      <w:r>
        <w:rPr/>
        <w:t>30</w:t>
      </w:r>
      <w:r>
        <w:rPr/>
        <w:fldChar w:fldCharType="end"/>
      </w:r>
      <w:r>
        <w:rPr/>
        <w:tab/>
        <w:t xml:space="preserve">The parties agree that all refunds from Transporter related to transportation rights available to Replacement Shipper under this Contract shall be payable allocated in accordance with Transporter’s Tariff; </w:t>
      </w:r>
      <w:r>
        <w:rPr>
          <w:u w:val="single"/>
        </w:rPr>
        <w:t>provided, however,</w:t>
      </w:r>
      <w:r>
        <w:rPr/>
        <w:t xml:space="preserve"> that:</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operations</w:t>
      </w:r>
    </w:p>
    <w:p>
      <w:pPr>
        <w:pStyle w:val="Heading2"/>
        <w:rPr/>
      </w:pPr>
      <w:r>
        <w:rPr/>
        <w:fldChar w:fldCharType="begin"/>
      </w:r>
      <w:r>
        <w:rPr/>
        <w:instrText xml:space="preserve"> SEQ AutoNr \* ARABIC </w:instrText>
      </w:r>
      <w:r>
        <w:rPr/>
        <w:fldChar w:fldCharType="separate"/>
      </w:r>
      <w:r>
        <w:rPr/>
        <w:t>32</w:t>
      </w:r>
      <w:r>
        <w:rPr/>
        <w:fldChar w:fldCharType="end"/>
      </w:r>
      <w:r>
        <w:rPr/>
        <w:tab/>
        <w:t>Replacement Shipper agrees to comply with Transporter’s Tariff.</w:t>
      </w:r>
    </w:p>
    <w:p>
      <w:pPr>
        <w:pStyle w:val="Heading2"/>
        <w:rPr/>
      </w:pPr>
      <w:r>
        <w:rPr/>
        <w:fldChar w:fldCharType="begin"/>
      </w:r>
      <w:r>
        <w:rPr/>
        <w:instrText xml:space="preserve"> SEQ AutoNr \* ARABIC </w:instrText>
      </w:r>
      <w:r>
        <w:rPr/>
        <w:fldChar w:fldCharType="separate"/>
      </w:r>
      <w:r>
        <w:rPr/>
        <w:t>33</w:t>
      </w:r>
      <w:r>
        <w:rPr/>
        <w:fldChar w:fldCharType="end"/>
      </w:r>
      <w:r>
        <w:rPr/>
        <w:tab/>
        <w:t>Scheduling of gas transportation with Transporter shall be Replacement Shipper’s responsibility.  Replacement Shipper understands and agrees the scheduling and availability of transportation hereunder shall be subject to Transporter’s Tariff, operational procedures, curtailment procedures, and operational restrictions.</w:t>
      </w:r>
    </w:p>
    <w:p>
      <w:pPr>
        <w:pStyle w:val="Heading2"/>
        <w:rPr/>
      </w:pPr>
      <w:r>
        <w:rPr/>
        <w:fldChar w:fldCharType="begin"/>
      </w:r>
      <w:r>
        <w:rPr/>
        <w:instrText xml:space="preserve"> SEQ AutoNr \* ARABIC </w:instrText>
      </w:r>
      <w:r>
        <w:rPr/>
        <w:fldChar w:fldCharType="separate"/>
      </w:r>
      <w:r>
        <w:rPr/>
        <w:t>34</w:t>
      </w:r>
      <w:r>
        <w:rPr/>
        <w:fldChar w:fldCharType="end"/>
      </w:r>
      <w:r>
        <w:rPr/>
        <w:tab/>
        <w:t>Replacement Shipper understands and agrees that it does not have the express or implied authority to negotiate for or on behalf of Company or bind Company to any agreement, and Replacement Shipper shall not permanently alter, modify or terminate  the Pipeline Transportation Contract including, but not limited to, any change in Primary Receipt or Primary Delivery Point(s), the term of the Contract, the Services provided, or the rates paid.  Notwithstanding the foregoing, if during the term of any Transportation Arrangement, Transporter is willing to (i) allow Replacement Shipper to deliver or receive gas at points other that the Primary Receipt or primary Delivery Point(s), (ii) discount the rate heretofore charged by Transporter for transportation using the released capacity, or (iii) otherwise varying terms of the Transportation Arrangement such that it does not match the Pipeline Transportation Contract, any such action shall not be deemed to violate the terms of the first sentence of this Section 4.3.</w:t>
      </w:r>
    </w:p>
    <w:p>
      <w:pPr>
        <w:pStyle w:val="Heading2"/>
        <w:rPr/>
      </w:pPr>
      <w:r>
        <w:rPr/>
        <w:fldChar w:fldCharType="begin"/>
      </w:r>
      <w:r>
        <w:rPr/>
        <w:instrText xml:space="preserve"> SEQ AutoNr \* ARABIC </w:instrText>
      </w:r>
      <w:r>
        <w:rPr/>
        <w:fldChar w:fldCharType="separate"/>
      </w:r>
      <w:r>
        <w:rPr/>
        <w:t>35</w:t>
      </w:r>
      <w:r>
        <w:rPr/>
        <w:fldChar w:fldCharType="end"/>
      </w:r>
      <w:r>
        <w:rPr/>
        <w:tab/>
        <w:t>Replacement Shipper understands and agrees that Replacement Shipper’s use of firm transportation rights under this Contract and the Pipeline Transportation Contract are subject to, and must strictly comply with, the applicable quality standards, delivery pressure, measurement requirements and other applicable rules, procedures, policies, guidelines, tariff provisions, contractual arrangements and specifications of Transporter’s Tariff, as the same may change from time to time.</w:t>
      </w:r>
    </w:p>
    <w:p>
      <w:pPr>
        <w:pStyle w:val="Heading2"/>
        <w:rPr/>
      </w:pPr>
      <w:r>
        <w:rPr/>
        <w:fldChar w:fldCharType="begin"/>
      </w:r>
      <w:r>
        <w:rPr/>
        <w:instrText xml:space="preserve"> SEQ AutoNr \* ARABIC </w:instrText>
      </w:r>
      <w:r>
        <w:rPr/>
        <w:fldChar w:fldCharType="separate"/>
      </w:r>
      <w:r>
        <w:rPr/>
        <w:t>36</w:t>
      </w:r>
      <w:r>
        <w:rPr/>
        <w:fldChar w:fldCharType="end"/>
      </w:r>
      <w:r>
        <w:rPr/>
        <w:tab/>
        <w:t>In accordance with Transporter’s Tariff, Replacement Shipper shall be liable for and shall pay all penalties, cash-outs, or other costs imposed on Replacement Shipper by Transporter, including Replacement Shipper’s transporters, to the extent that such penalties, cash-outs or other costs are related to Replacement Shipper’s actions or inaction in utilizing Company’s firm transportation rights, or are related to Replacement Shipper’s use of the Pipeline Transportation Contract during the effectiveness of this Contract or the applicable Exhibit A.</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term of contract</w:t>
      </w:r>
    </w:p>
    <w:p>
      <w:pPr>
        <w:pStyle w:val="Heading2"/>
        <w:rPr/>
      </w:pPr>
      <w:r>
        <w:rPr/>
        <w:fldChar w:fldCharType="begin"/>
      </w:r>
      <w:r>
        <w:rPr/>
        <w:instrText xml:space="preserve"> SEQ AutoNr \* ARABIC </w:instrText>
      </w:r>
      <w:r>
        <w:rPr/>
        <w:fldChar w:fldCharType="separate"/>
      </w:r>
      <w:r>
        <w:rPr/>
        <w:t>38</w:t>
      </w:r>
      <w:r>
        <w:rPr/>
        <w:fldChar w:fldCharType="end"/>
      </w:r>
      <w:r>
        <w:rPr/>
        <w:tab/>
        <w:t>This Contract shall continue in force from the date first written above and shall continue in full force and effect, unless terminated by either Party under the provisions herein for a term of one (1) month, and shall continue from month to month thereafter until terminated by either Party upon thirty (30) Days written notice.  This Agreement may not be terminated, however, during the time period (i) for which an executed Exhibit A is in effect or (ii) for which the underlying Transportation Arrangement is in effect, without prior written consent of the other Party.</w:t>
      </w:r>
    </w:p>
    <w:p>
      <w:pPr>
        <w:pStyle w:val="Heading2"/>
        <w:rPr/>
      </w:pPr>
      <w:r>
        <w:rPr/>
        <w:fldChar w:fldCharType="begin"/>
      </w:r>
      <w:r>
        <w:rPr/>
        <w:instrText xml:space="preserve"> SEQ AutoNr \* ARABIC </w:instrText>
      </w:r>
      <w:r>
        <w:rPr/>
        <w:fldChar w:fldCharType="separate"/>
      </w:r>
      <w:r>
        <w:rPr/>
        <w:t>39</w:t>
      </w:r>
      <w:r>
        <w:rPr/>
        <w:fldChar w:fldCharType="end"/>
      </w:r>
      <w:r>
        <w:rPr/>
        <w:tab/>
        <w:t>Transactions detailed in Exhibit A shall automatically renew or extend to equal the term of the underlying Transportation Arrangement.  Termination of Exhibit A transactions shall not terminate this Firm Pipeline Transportation Capacity Release Contract, which shall remain in place to govern future transactions if a new Exhibit A shall be executed and become effective.  Termination of the Contract shall include termination of Exhibit A and all commitments therein as of the date of termination of the Contract.</w:t>
      </w:r>
    </w:p>
    <w:p>
      <w:pPr>
        <w:pStyle w:val="Heading1"/>
        <w:ind w:hanging="0" w:start="0"/>
        <w:rPr/>
      </w:pPr>
      <w:r>
        <w:rPr/>
        <w:t xml:space="preserve">article </w:t>
      </w:r>
      <w:r>
        <w:rPr/>
        <w:fldChar w:fldCharType="begin"/>
      </w:r>
      <w:r>
        <w:rPr/>
        <w:instrText xml:space="preserve"> SEQ AutoNr \* ARABIC </w:instrText>
      </w:r>
      <w:r>
        <w:rPr/>
        <w:fldChar w:fldCharType="separate"/>
      </w:r>
      <w:r>
        <w:rPr/>
        <w:t>40</w:t>
      </w:r>
      <w:r>
        <w:rPr/>
        <w:fldChar w:fldCharType="end"/>
      </w:r>
      <w:r>
        <w:rPr/>
        <w:br/>
        <w:t>warranty</w:t>
      </w:r>
    </w:p>
    <w:p>
      <w:pPr>
        <w:pStyle w:val="Heading2"/>
        <w:rPr/>
      </w:pPr>
      <w:r>
        <w:rPr/>
        <w:fldChar w:fldCharType="begin"/>
      </w:r>
      <w:r>
        <w:rPr/>
        <w:instrText xml:space="preserve"> SEQ AutoNr \* ARABIC </w:instrText>
      </w:r>
      <w:r>
        <w:rPr/>
        <w:fldChar w:fldCharType="separate"/>
      </w:r>
      <w:r>
        <w:rPr/>
        <w:t>41</w:t>
      </w:r>
      <w:r>
        <w:rPr/>
        <w:fldChar w:fldCharType="end"/>
      </w:r>
      <w:r>
        <w:rPr/>
        <w:tab/>
        <w:t>Replacement Shipper warrants it is financially able to pay the charges set forth in Exhibit A of this Contract, and that it shall comply with the credit-worthiness standards of Transporter.  Replacement Shipper agrees Company shall have the same rights to request information, assurances, and compliance as are granted to Transporter in Transporter’s Tariff.</w:t>
      </w:r>
    </w:p>
    <w:p>
      <w:pPr>
        <w:pStyle w:val="Heading2"/>
        <w:rPr/>
      </w:pPr>
      <w:r>
        <w:rPr/>
        <w:fldChar w:fldCharType="begin"/>
      </w:r>
      <w:r>
        <w:rPr/>
        <w:instrText xml:space="preserve"> SEQ AutoNr \* ARABIC </w:instrText>
      </w:r>
      <w:r>
        <w:rPr/>
        <w:fldChar w:fldCharType="separate"/>
      </w:r>
      <w:r>
        <w:rPr/>
        <w:t>42</w:t>
      </w:r>
      <w:r>
        <w:rPr/>
        <w:fldChar w:fldCharType="end"/>
      </w:r>
      <w:r>
        <w:rPr/>
        <w:tab/>
        <w:t>Replacement Shipper agrees to enter into an “Umbrella Firm Transportation Agreement for Replacement Customer under Rate Schedule FT” with Transporter as set forth in Transporter’s Tariff.  Replacement Shipper recognizes that such an agreement between Replacement Shipper and Transporter is necessary to effectuate the Transportation Arrangement that uses the released capacity.</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other provisions</w:t>
      </w:r>
    </w:p>
    <w:p>
      <w:pPr>
        <w:pStyle w:val="Heading2"/>
        <w:rPr/>
      </w:pPr>
      <w:r>
        <w:rPr/>
        <w:fldChar w:fldCharType="begin"/>
      </w:r>
      <w:r>
        <w:rPr/>
        <w:instrText xml:space="preserve"> SEQ AutoNr \* ARABIC </w:instrText>
      </w:r>
      <w:r>
        <w:rPr/>
        <w:fldChar w:fldCharType="separate"/>
      </w:r>
      <w:r>
        <w:rPr/>
        <w:t>44</w:t>
      </w:r>
      <w:r>
        <w:rPr/>
        <w:fldChar w:fldCharType="end"/>
      </w:r>
      <w:r>
        <w:rPr/>
        <w:tab/>
        <w:t>The transaction contemplated hereunder shall be subject to all applicable state and federal laws, administrative determinations, and regulations, and all pertinent orders or decisions of the Public Service Commission of Kentucky (“KYPSC”), if applicable, or the FERC and the courts of the Commonwealth of Kentucky and the United States of America.</w:t>
      </w:r>
    </w:p>
    <w:p>
      <w:pPr>
        <w:pStyle w:val="Heading2"/>
        <w:rPr/>
      </w:pPr>
      <w:r>
        <w:rPr/>
        <w:fldChar w:fldCharType="begin"/>
      </w:r>
      <w:r>
        <w:rPr/>
        <w:instrText xml:space="preserve"> SEQ AutoNr \* ARABIC </w:instrText>
      </w:r>
      <w:r>
        <w:rPr/>
        <w:fldChar w:fldCharType="separate"/>
      </w:r>
      <w:r>
        <w:rPr/>
        <w:t>45</w:t>
      </w:r>
      <w:r>
        <w:rPr/>
        <w:fldChar w:fldCharType="end"/>
      </w:r>
      <w:r>
        <w:rPr/>
        <w:tab/>
        <w:t>This Contract shall be governed by the laws of the Commonwealth of Kentucky.</w:t>
      </w:r>
    </w:p>
    <w:p>
      <w:pPr>
        <w:pStyle w:val="Heading2"/>
        <w:rPr/>
      </w:pPr>
      <w:r>
        <w:rPr/>
        <w:fldChar w:fldCharType="begin"/>
      </w:r>
      <w:r>
        <w:rPr/>
        <w:instrText xml:space="preserve"> SEQ AutoNr \* ARABIC </w:instrText>
      </w:r>
      <w:r>
        <w:rPr/>
        <w:fldChar w:fldCharType="separate"/>
      </w:r>
      <w:r>
        <w:rPr/>
        <w:t>46</w:t>
      </w:r>
      <w:r>
        <w:rPr/>
        <w:fldChar w:fldCharType="end"/>
      </w:r>
      <w:r>
        <w:rPr/>
        <w:tab/>
        <w:t xml:space="preserve">An action for breach of this Contract must be commenced within one (1) year after the cause of action has accrued.  </w:t>
      </w:r>
      <w:r>
        <w:rPr>
          <w:b/>
          <w:bCs/>
          <w:caps/>
        </w:rPr>
        <w:t>No consequential or incidental damages, including loss of profits or business opportunity or revenues, shall be recoverable arising from or related to a breach by Company of this Contract</w:t>
      </w:r>
      <w:r>
        <w:rPr/>
        <w:t>.</w:t>
      </w:r>
    </w:p>
    <w:p>
      <w:pPr>
        <w:pStyle w:val="Heading2"/>
        <w:rPr/>
      </w:pPr>
      <w:r>
        <w:rPr/>
        <w:fldChar w:fldCharType="begin"/>
      </w:r>
      <w:r>
        <w:rPr/>
        <w:instrText xml:space="preserve"> SEQ AutoNr \* ARABIC </w:instrText>
      </w:r>
      <w:r>
        <w:rPr/>
        <w:fldChar w:fldCharType="separate"/>
      </w:r>
      <w:r>
        <w:rPr/>
        <w:t>47</w:t>
      </w:r>
      <w:r>
        <w:rPr/>
        <w:fldChar w:fldCharType="end"/>
      </w:r>
      <w:r>
        <w:rPr/>
        <w:tab/>
        <w:t>To the extent that any rights are actually conferred by operation of this Agreement, Replacement Shipper shall not pledge, release, assign, subordinate, transfer, or use as security for debt, any rights conferred upon Replacement Shipper under this Contract, except with the prior written agreement of Company.</w:t>
      </w:r>
    </w:p>
    <w:p>
      <w:pPr>
        <w:pStyle w:val="Heading2"/>
        <w:rPr/>
      </w:pPr>
      <w:r>
        <w:rPr/>
        <w:fldChar w:fldCharType="begin"/>
      </w:r>
      <w:r>
        <w:rPr/>
        <w:instrText xml:space="preserve"> SEQ AutoNr \* ARABIC </w:instrText>
      </w:r>
      <w:r>
        <w:rPr/>
        <w:fldChar w:fldCharType="separate"/>
      </w:r>
      <w:r>
        <w:rPr/>
        <w:t>48</w:t>
      </w:r>
      <w:r>
        <w:rPr/>
        <w:fldChar w:fldCharType="end"/>
      </w:r>
      <w:r>
        <w:rPr/>
        <w:tab/>
        <w:t>This Contract constitutes the entire understanding of Company and Replacement Shipper with respect to the subject matter hereof.  No prior or contemporaneous oral agreements exist.  No modification or amendment of this Contract is binding on the Parties unless in writing and executed by duly authorized representatives of the Parties.</w:t>
      </w:r>
    </w:p>
    <w:p>
      <w:pPr>
        <w:pStyle w:val="Heading2"/>
        <w:rPr/>
      </w:pPr>
      <w:r>
        <w:rPr/>
        <w:fldChar w:fldCharType="begin"/>
      </w:r>
      <w:r>
        <w:rPr/>
        <w:instrText xml:space="preserve"> SEQ AutoNr \* ARABIC </w:instrText>
      </w:r>
      <w:r>
        <w:rPr/>
        <w:fldChar w:fldCharType="separate"/>
      </w:r>
      <w:r>
        <w:rPr/>
        <w:t>49</w:t>
      </w:r>
      <w:r>
        <w:rPr/>
        <w:fldChar w:fldCharType="end"/>
      </w:r>
      <w:r>
        <w:rPr/>
        <w:tab/>
        <w:t>No provision of this Contract is waived and no breach consented to, unless the waiver or consent is in writing and signed by the waiving or consenting Party.  A waiver of or consent to a full or partial breach, is not a waiver of, consent to or excuse for a different or subsequent breach.  Failure to enforce an obligation hereunder is not a waiver.</w:t>
      </w:r>
    </w:p>
    <w:p>
      <w:pPr>
        <w:pStyle w:val="Heading2"/>
        <w:rPr/>
      </w:pPr>
      <w:r>
        <w:rPr/>
        <w:fldChar w:fldCharType="begin"/>
      </w:r>
      <w:r>
        <w:rPr/>
        <w:instrText xml:space="preserve"> SEQ AutoNr \* ARABIC </w:instrText>
      </w:r>
      <w:r>
        <w:rPr/>
        <w:fldChar w:fldCharType="separate"/>
      </w:r>
      <w:r>
        <w:rPr/>
        <w:t>50</w:t>
      </w:r>
      <w:r>
        <w:rPr/>
        <w:fldChar w:fldCharType="end"/>
      </w:r>
      <w:r>
        <w:rPr/>
        <w:tab/>
        <w:t>Replacement Shipper shall be obligated to pay all taxes, assessments, or fees levied with respect to the capacity released pursuant to this Contract or with respect to entering into transactions under this Contract.  Company shall have no obligation with respect thereto.  Company represents to Replacement Shipper that it currently has no knowledge of any taxes, assessments or fees that may be levied with respect to the capacity released pursuant to this Contract or with respect to entering into transactions under this Contract.</w:t>
      </w:r>
    </w:p>
    <w:p>
      <w:pPr>
        <w:pStyle w:val="Heading1"/>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indemnification</w:t>
      </w:r>
    </w:p>
    <w:p>
      <w:pPr>
        <w:pStyle w:val="Heading2"/>
        <w:rPr/>
      </w:pPr>
      <w:r>
        <w:rPr/>
        <w:fldChar w:fldCharType="begin"/>
      </w:r>
      <w:r>
        <w:rPr/>
        <w:instrText xml:space="preserve"> SEQ AutoNr \* ARABIC </w:instrText>
      </w:r>
      <w:r>
        <w:rPr/>
        <w:fldChar w:fldCharType="separate"/>
      </w:r>
      <w:r>
        <w:rPr/>
        <w:t>52</w:t>
      </w:r>
      <w:r>
        <w:rPr/>
        <w:fldChar w:fldCharType="end"/>
      </w:r>
      <w:r>
        <w:rPr/>
        <w:tab/>
        <w:t>Replacement Shipper shall indemnify and hold Company harmless from any and all costs, damages, injuries, expenses, (including the costs of enforcing this indemnification agreement), claims, settlements, and other payments required to be made by Company to third parties which arise out of, are caused by, or related to:</w:t>
      </w:r>
    </w:p>
    <w:p>
      <w:pPr>
        <w:pStyle w:val="Heading6"/>
        <w:rPr/>
      </w:pPr>
      <w:r>
        <w:rPr/>
        <w:fldChar w:fldCharType="begin"/>
      </w:r>
      <w:r>
        <w:rPr/>
        <w:instrText xml:space="preserve"> SEQ AutoNr \* ARABIC </w:instrText>
      </w:r>
      <w:r>
        <w:rPr/>
        <w:fldChar w:fldCharType="separate"/>
      </w:r>
      <w:r>
        <w:rPr/>
        <w:t>53</w:t>
      </w:r>
      <w:r>
        <w:rPr/>
        <w:fldChar w:fldCharType="end"/>
      </w:r>
      <w:r>
        <w:rPr/>
        <w:tab/>
        <w:t>Violation by Replacement Shipper of any law, administrative rule or regulation, order of the KYPSC or the FERC, or a provision of Company’s Tariff or Transporter’s Tariff or this Contract.</w:t>
      </w:r>
    </w:p>
    <w:p>
      <w:pPr>
        <w:pStyle w:val="Heading6"/>
        <w:rPr/>
      </w:pPr>
      <w:r>
        <w:rPr/>
        <w:fldChar w:fldCharType="begin"/>
      </w:r>
      <w:r>
        <w:rPr/>
        <w:instrText xml:space="preserve"> SEQ AutoNr \* ARABIC </w:instrText>
      </w:r>
      <w:r>
        <w:rPr/>
        <w:fldChar w:fldCharType="separate"/>
      </w:r>
      <w:r>
        <w:rPr/>
        <w:t>54</w:t>
      </w:r>
      <w:r>
        <w:rPr/>
        <w:fldChar w:fldCharType="end"/>
      </w:r>
      <w:r>
        <w:rPr/>
        <w:tab/>
        <w:t>The actual, attempted, or purported transfer or assignment of this Contract or any rights afforded Replacement Shipper under this Contract.</w:t>
      </w:r>
    </w:p>
    <w:p>
      <w:pPr>
        <w:pStyle w:val="Heading6"/>
        <w:rPr/>
      </w:pPr>
      <w:r>
        <w:rPr/>
        <w:fldChar w:fldCharType="begin"/>
      </w:r>
      <w:r>
        <w:rPr/>
        <w:instrText xml:space="preserve"> SEQ AutoNr \* ARABIC </w:instrText>
      </w:r>
      <w:r>
        <w:rPr/>
        <w:fldChar w:fldCharType="separate"/>
      </w:r>
      <w:r>
        <w:rPr/>
        <w:t>55</w:t>
      </w:r>
      <w:r>
        <w:rPr/>
        <w:fldChar w:fldCharType="end"/>
      </w:r>
      <w:r>
        <w:rPr/>
        <w:tab/>
        <w:t>Any transportation by Replacement Shipper of gas which does not comply with the quality specifications of Transporter’s Tariff or which contains any hazardous, toxic, or deleterious substances, wastes or contaminates.</w:t>
      </w:r>
    </w:p>
    <w:p>
      <w:pPr>
        <w:pStyle w:val="Heading2"/>
        <w:rPr/>
      </w:pPr>
      <w:r>
        <w:rPr/>
        <w:fldChar w:fldCharType="begin"/>
      </w:r>
      <w:r>
        <w:rPr/>
        <w:instrText xml:space="preserve"> SEQ AutoNr \* ARABIC </w:instrText>
      </w:r>
      <w:r>
        <w:rPr/>
        <w:fldChar w:fldCharType="separate"/>
      </w:r>
      <w:r>
        <w:rPr/>
        <w:t>56</w:t>
      </w:r>
      <w:r>
        <w:rPr/>
        <w:fldChar w:fldCharType="end"/>
      </w:r>
      <w:r>
        <w:rPr/>
        <w:tab/>
        <w:t>Company shall indemnify and hold Replacement Shipper harmless from any and all costs, damages, injuries, expenses (including the costs of enforcing this indemnification agreement), claims, settlements, and other payments required to be made by Replacement Shipper to third parties which arise out of, are caused by, or related to:</w:t>
      </w:r>
    </w:p>
    <w:p>
      <w:pPr>
        <w:pStyle w:val="Heading6"/>
        <w:rPr/>
      </w:pPr>
      <w:r>
        <w:rPr/>
        <w:fldChar w:fldCharType="begin"/>
      </w:r>
      <w:r>
        <w:rPr/>
        <w:instrText xml:space="preserve"> SEQ AutoNr \* ARABIC </w:instrText>
      </w:r>
      <w:r>
        <w:rPr/>
        <w:fldChar w:fldCharType="separate"/>
      </w:r>
      <w:r>
        <w:rPr/>
        <w:t>57</w:t>
      </w:r>
      <w:r>
        <w:rPr/>
        <w:fldChar w:fldCharType="end"/>
      </w:r>
      <w:r>
        <w:rPr/>
        <w:tab/>
        <w:t>Violation by Company of any law, administrative rule or regulation, order of the KYPSC or the FERC, or a provision of Company’s Tariff or Transporter’s Tariff or this Contract.</w:t>
      </w:r>
    </w:p>
    <w:p>
      <w:pPr>
        <w:pStyle w:val="Heading6"/>
        <w:rPr/>
      </w:pPr>
      <w:r>
        <w:rPr/>
        <w:fldChar w:fldCharType="begin"/>
      </w:r>
      <w:r>
        <w:rPr/>
        <w:instrText xml:space="preserve"> SEQ AutoNr \* ARABIC </w:instrText>
      </w:r>
      <w:r>
        <w:rPr/>
        <w:fldChar w:fldCharType="separate"/>
      </w:r>
      <w:r>
        <w:rPr/>
        <w:t>58</w:t>
      </w:r>
      <w:r>
        <w:rPr/>
        <w:fldChar w:fldCharType="end"/>
      </w:r>
      <w:r>
        <w:rPr/>
        <w:tab/>
        <w:t>The actual, attempted, or purported transfer or assignment of this Contract or any rights afforded Replacement Shipper under this Contract.</w:t>
      </w:r>
    </w:p>
    <w:p>
      <w:pPr>
        <w:pStyle w:val="Heading2"/>
        <w:rPr/>
      </w:pPr>
      <w:r>
        <w:rPr/>
        <w:fldChar w:fldCharType="begin"/>
      </w:r>
      <w:r>
        <w:rPr/>
        <w:instrText xml:space="preserve"> SEQ AutoNr \* ARABIC </w:instrText>
      </w:r>
      <w:r>
        <w:rPr/>
        <w:fldChar w:fldCharType="separate"/>
      </w:r>
      <w:r>
        <w:rPr/>
        <w:t>59</w:t>
      </w:r>
      <w:r>
        <w:rPr/>
        <w:fldChar w:fldCharType="end"/>
      </w:r>
      <w:r>
        <w:rPr/>
        <w:tab/>
        <w:t>To the extent any portion of this indemnification provision is construed to be non-enforceable, that portion shall be considered severed and all remaining portions construed to permit indemnification to the maximum extent permitted by law.</w:t>
      </w:r>
    </w:p>
    <w:p>
      <w:pPr>
        <w:pStyle w:val="Heading2"/>
        <w:rPr/>
      </w:pPr>
      <w:r>
        <w:rPr/>
        <w:fldChar w:fldCharType="begin"/>
      </w:r>
      <w:r>
        <w:rPr/>
        <w:instrText xml:space="preserve"> SEQ AutoNr \* ARABIC </w:instrText>
      </w:r>
      <w:r>
        <w:rPr/>
        <w:fldChar w:fldCharType="separate"/>
      </w:r>
      <w:r>
        <w:rPr/>
        <w:t>60</w:t>
      </w:r>
      <w:r>
        <w:rPr/>
        <w:fldChar w:fldCharType="end"/>
      </w:r>
      <w:r>
        <w:rPr/>
        <w:tab/>
        <w:t>The indemnification rights provided under this Contract shall be in addition to and supplementary to all other rights afforded the parties under this Contract and applicable laws, tariffs, and regulations.</w:t>
      </w:r>
    </w:p>
    <w:p>
      <w:pPr>
        <w:pStyle w:val="Heading1"/>
        <w:ind w:hanging="0" w:start="0"/>
        <w:rPr/>
      </w:pPr>
      <w:r>
        <w:rPr/>
        <w:t xml:space="preserve">article </w:t>
      </w:r>
      <w:r>
        <w:rPr/>
        <w:fldChar w:fldCharType="begin"/>
      </w:r>
      <w:r>
        <w:rPr/>
        <w:instrText xml:space="preserve"> SEQ AutoNr \* ARABIC </w:instrText>
      </w:r>
      <w:r>
        <w:rPr/>
        <w:fldChar w:fldCharType="separate"/>
      </w:r>
      <w:r>
        <w:rPr/>
        <w:t>61</w:t>
      </w:r>
      <w:r>
        <w:rPr/>
        <w:fldChar w:fldCharType="end"/>
      </w:r>
      <w:r>
        <w:rPr/>
        <w:br/>
        <w:t>authority</w:t>
      </w:r>
    </w:p>
    <w:p>
      <w:pPr>
        <w:pStyle w:val="Heading2"/>
        <w:rPr/>
      </w:pPr>
      <w:r>
        <w:rPr/>
        <w:fldChar w:fldCharType="begin"/>
      </w:r>
      <w:r>
        <w:rPr/>
        <w:instrText xml:space="preserve"> SEQ AutoNr \* ARABIC </w:instrText>
      </w:r>
      <w:r>
        <w:rPr/>
        <w:fldChar w:fldCharType="separate"/>
      </w:r>
      <w:r>
        <w:rPr/>
        <w:t>62</w:t>
      </w:r>
      <w:r>
        <w:rPr/>
        <w:fldChar w:fldCharType="end"/>
      </w:r>
      <w:r>
        <w:rPr/>
        <w:tab/>
        <w:t>Each Party has full power and authority to enter into and perform this Contract and any Exhibit thereto, and the person signing this Contract on behalf of each has been properly authorized and empowered to enter into this Contract.  Each Party further acknowledges that it has read this Contract, understands it and agrees to be bound by it.</w:t>
      </w:r>
    </w:p>
    <w:p>
      <w:pPr>
        <w:pStyle w:val="Heading2"/>
        <w:rPr/>
      </w:pPr>
      <w:r>
        <w:rPr/>
        <w:fldChar w:fldCharType="begin"/>
      </w:r>
      <w:r>
        <w:rPr/>
        <w:instrText xml:space="preserve"> SEQ AutoNr \* ARABIC </w:instrText>
      </w:r>
      <w:r>
        <w:rPr/>
        <w:fldChar w:fldCharType="separate"/>
      </w:r>
      <w:r>
        <w:rPr/>
        <w:t>63</w:t>
      </w:r>
      <w:r>
        <w:rPr/>
        <w:fldChar w:fldCharType="end"/>
      </w:r>
      <w:r>
        <w:rPr/>
        <w:tab/>
        <w:t>This Contract has been executed in duplicate by the duly authorized representatives of the Parties.</w:t>
      </w:r>
    </w:p>
    <w:p>
      <w:pPr>
        <w:pStyle w:val="Justified"/>
        <w:rPr/>
      </w:pPr>
      <w:r>
        <w:rPr/>
      </w:r>
    </w:p>
    <w:p>
      <w:pPr>
        <w:pStyle w:val="Heading2"/>
        <w:ind w:hanging="0" w:end="0"/>
        <w:rPr/>
      </w:pPr>
      <w:r>
        <w:rPr/>
      </w:r>
    </w:p>
    <w:p>
      <w:pPr>
        <w:pStyle w:val="Justified"/>
        <w:rPr/>
      </w:pPr>
      <w:r>
        <w:rPr/>
      </w:r>
    </w:p>
    <w:p>
      <w:pPr>
        <w:pStyle w:val="Heading2"/>
        <w:tabs>
          <w:tab w:val="clear" w:pos="720"/>
          <w:tab w:val="left" w:pos="4680" w:leader="none"/>
          <w:tab w:val="left" w:pos="5310" w:leader="none"/>
          <w:tab w:val="left" w:pos="8460" w:leader="none"/>
        </w:tabs>
        <w:ind w:hanging="0" w:end="0"/>
        <w:rPr/>
      </w:pPr>
      <w:r>
        <w:rPr/>
        <w:t xml:space="preserve">LOUISVILLE GAS AND ELECTRIC </w:t>
        <w:tab/>
        <w:t>ENRON CAPITAL &amp; TRADE COMPANY</w:t>
        <w:tab/>
        <w:t>RESOURCES CORP.</w:t>
      </w:r>
    </w:p>
    <w:p>
      <w:pPr>
        <w:pStyle w:val="Heading2"/>
        <w:rPr/>
      </w:pPr>
      <w:r>
        <w:rPr/>
      </w:r>
    </w:p>
    <w:p>
      <w:pPr>
        <w:pStyle w:val="Justified"/>
        <w:tabs>
          <w:tab w:val="clear" w:pos="720"/>
          <w:tab w:val="left" w:pos="540" w:leader="none"/>
          <w:tab w:val="left" w:pos="3600" w:leader="none"/>
          <w:tab w:val="left" w:pos="5310" w:leader="none"/>
          <w:tab w:val="left" w:pos="6120" w:leader="none"/>
          <w:tab w:val="left" w:pos="8460" w:leader="none"/>
        </w:tabs>
        <w:rPr/>
      </w:pPr>
      <w:r>
        <w:rPr/>
        <w:t>By:  `</w:t>
      </w:r>
      <w:r>
        <w:rPr>
          <w:u w:val="single"/>
        </w:rPr>
        <w:tab/>
      </w:r>
      <w:r>
        <w:rPr/>
        <w:tab/>
        <w:t>By:  __</w:t>
      </w:r>
      <w:r>
        <w:rPr>
          <w:u w:val="single"/>
        </w:rPr>
        <w:tab/>
        <w:tab/>
      </w:r>
    </w:p>
    <w:p>
      <w:pPr>
        <w:pStyle w:val="Heading2"/>
        <w:tabs>
          <w:tab w:val="left" w:pos="720" w:leader="none"/>
          <w:tab w:val="left" w:pos="3600" w:leader="none"/>
          <w:tab w:val="left" w:pos="5310" w:leader="none"/>
          <w:tab w:val="left" w:pos="6120" w:leader="none"/>
          <w:tab w:val="left" w:pos="8460" w:leader="none"/>
        </w:tabs>
        <w:ind w:hanging="0" w:end="-180"/>
        <w:rPr/>
      </w:pPr>
      <w:r>
        <w:rPr/>
        <w:t xml:space="preserve">Title:  </w:t>
      </w:r>
      <w:r>
        <w:rPr>
          <w:u w:val="single"/>
        </w:rPr>
        <w:tab/>
        <w:tab/>
      </w:r>
      <w:r>
        <w:rPr/>
        <w:tab/>
        <w:t xml:space="preserve">Title:  </w:t>
      </w:r>
      <w:r>
        <w:rPr>
          <w:u w:val="single"/>
        </w:rPr>
        <w:tab/>
        <w:tab/>
      </w:r>
    </w:p>
    <w:p>
      <w:pPr>
        <w:pStyle w:val="Justified"/>
        <w:tabs>
          <w:tab w:val="left" w:pos="720" w:leader="none"/>
          <w:tab w:val="left" w:pos="3600" w:leader="none"/>
          <w:tab w:val="left" w:pos="5310" w:leader="none"/>
          <w:tab w:val="left" w:pos="8460" w:leader="none"/>
        </w:tabs>
        <w:spacing w:before="0" w:after="120"/>
        <w:rPr/>
      </w:pPr>
      <w:r>
        <w:rPr/>
        <w:t>Date:</w:t>
        <w:tab/>
      </w:r>
      <w:r>
        <w:rPr>
          <w:u w:val="single"/>
        </w:rPr>
        <w:tab/>
      </w:r>
      <w:r>
        <w:rPr/>
        <w:tab/>
        <w:t xml:space="preserve">Date:  </w:t>
      </w:r>
      <w:r>
        <w:rPr>
          <w:u w:val="single"/>
        </w:rPr>
        <w:tab/>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G Times (WN)">
    <w:charset w:val="01"/>
    <w:family w:val="roman"/>
    <w:pitch w:val="variable"/>
  </w:font>
  <w:font w:name="Times">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szCs w:val="16"/>
      </w:rPr>
    </w:pPr>
    <w:r>
      <w:rPr>
        <w:sz w:val="16"/>
        <w:szCs w:val="16"/>
      </w:rPr>
      <w:t>F:\USER\BTLUCEK\SVH\TRANSPOR\LG&amp;ERELE.DOC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9072" w:leader="dot"/>
        <w:tab w:val="right" w:pos="10800" w:leader="dot"/>
      </w:tabs>
      <w:spacing w:lineRule="atLeast" w:line="360" w:before="0" w:after="240"/>
      <w:ind w:hanging="0" w:start="0" w:end="720"/>
    </w:pPr>
    <w:rPr>
      <w:b/>
      <w:bCs/>
      <w:cap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H:\contract.dot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1995-01-26T10:53:00Z</dcterms:created>
  <dc:creator>Steve Van Hooser</dc:creator>
  <dc:description/>
  <dc:language>en-CA</dc:language>
  <cp:lastModifiedBy>jbutler</cp:lastModifiedBy>
  <cp:lastPrinted>1995-01-26T16:33:00Z</cp:lastPrinted>
  <dcterms:modified xsi:type="dcterms:W3CDTF">1995-01-27T11:22:00Z</dcterms:modified>
  <cp:revision>5</cp:revision>
  <dc:subject>CAPACITY RELEASE CONTRACT</dc:subject>
  <dc:title>FIRM PIPELINE TRANSPORTATION</dc:title>
</cp:coreProperties>
</file>