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2340" w:start="2340" w:end="0"/>
        <w:jc w:val="center"/>
        <w:rPr>
          <w:b/>
          <w:sz w:val="18"/>
        </w:rPr>
      </w:pPr>
      <w:r>
        <w:rPr>
          <w:b/>
          <w:sz w:val="18"/>
        </w:rPr>
      </w:r>
    </w:p>
    <w:p>
      <w:pPr>
        <w:pStyle w:val="Normal"/>
        <w:ind w:hanging="2340" w:start="2340" w:end="0"/>
        <w:jc w:val="center"/>
        <w:rPr>
          <w:b/>
          <w:sz w:val="18"/>
        </w:rPr>
      </w:pPr>
      <w:r>
        <w:rPr>
          <w:b/>
          <w:sz w:val="18"/>
        </w:rPr>
      </w:r>
    </w:p>
    <w:p>
      <w:pPr>
        <w:pStyle w:val="Normal"/>
        <w:ind w:hanging="2340" w:start="2340" w:end="0"/>
        <w:jc w:val="both"/>
        <w:rPr>
          <w:rFonts w:ascii="Arial" w:hAnsi="Arial" w:cs="Arial"/>
          <w:b/>
          <w:sz w:val="16"/>
        </w:rPr>
      </w:pPr>
      <w:r>
        <w:rPr>
          <w:rFonts w:cs="Arial" w:ascii="Arial" w:hAnsi="Arial"/>
          <w:b/>
          <w:sz w:val="16"/>
        </w:rPr>
      </w:r>
    </w:p>
    <w:p>
      <w:pPr>
        <w:pStyle w:val="Normal"/>
        <w:spacing w:before="0" w:after="120"/>
        <w:ind w:hanging="2070" w:start="2070" w:end="0"/>
        <w:jc w:val="both"/>
        <w:rPr/>
      </w:pPr>
      <w:r>
        <w:rPr>
          <w:rFonts w:cs="Arial" w:ascii="Arial" w:hAnsi="Arial"/>
          <w:b/>
          <w:sz w:val="16"/>
        </w:rPr>
        <w:tab/>
        <w:t>Capacity Credits,</w:t>
      </w:r>
      <w:r>
        <w:rPr>
          <w:rFonts w:cs="Arial" w:ascii="Arial" w:hAnsi="Arial"/>
          <w:sz w:val="16"/>
        </w:rPr>
        <w:t xml:space="preserve"> as defined by the PJM Reliability Assurance Agreement and the PJM Operating Agreement or any  successor thereto.</w:t>
      </w:r>
    </w:p>
    <w:p>
      <w:pPr>
        <w:pStyle w:val="Normal"/>
        <w:spacing w:before="0" w:after="120"/>
        <w:ind w:start="2070" w:end="0"/>
        <w:jc w:val="both"/>
        <w:rPr/>
      </w:pPr>
      <w:r>
        <w:rPr>
          <w:rFonts w:cs="Arial" w:ascii="Arial" w:hAnsi="Arial"/>
          <w:sz w:val="16"/>
        </w:rPr>
        <w:t>Seller will be obligated to deliver the Contract Quantity for each calendar day of the Delivery Period by entering such credits in a timely manner in the eCapacity system operated by PJM (or any successor thereto (“</w:t>
      </w:r>
      <w:r>
        <w:rPr>
          <w:rFonts w:cs="Arial" w:ascii="Arial" w:hAnsi="Arial"/>
          <w:b/>
          <w:sz w:val="16"/>
        </w:rPr>
        <w:t>eCapacity</w:t>
      </w:r>
      <w:r>
        <w:rPr>
          <w:rFonts w:cs="Arial" w:ascii="Arial" w:hAnsi="Arial"/>
          <w:sz w:val="16"/>
        </w:rPr>
        <w:t>”).  Buyer will be obligated to accept the Capacity Credits by confirming the receipt of such credits in a timely manner in eCapacity.</w:t>
      </w:r>
    </w:p>
    <w:p>
      <w:pPr>
        <w:pStyle w:val="Normal"/>
        <w:spacing w:before="0" w:after="240"/>
        <w:ind w:hanging="2070" w:start="2070" w:end="0"/>
        <w:jc w:val="both"/>
        <w:rPr/>
      </w:pPr>
      <w:r>
        <w:rPr>
          <w:rFonts w:cs="Arial" w:ascii="Arial" w:hAnsi="Arial"/>
          <w:b/>
          <w:sz w:val="16"/>
        </w:rPr>
        <w:tab/>
      </w:r>
      <w:r>
        <w:rPr>
          <w:rFonts w:cs="Arial" w:ascii="Arial" w:hAnsi="Arial"/>
          <w:sz w:val="16"/>
        </w:rPr>
        <w:t xml:space="preserve">If Seller fails to enter the Capacity Credits into eCapacity for Buyer pursuant to the terms and conditions of a Transaction, and such failure is not excused by Force Majeure or by reason of Buyer’s non-performance, then for those Capacity Credits not entered by Seller, Seller shall pay to Buyer, on the date payment would otherwise be due to Seller hereunder, an amount equal to the positive difference, if any, between the Replacement Price (except that all references therein to “Energy” shall be replaced by references to “Capacity Credits”) less the Contract Price set forth below; </w:t>
      </w:r>
      <w:r>
        <w:rPr>
          <w:rFonts w:cs="Arial" w:ascii="Arial" w:hAnsi="Arial"/>
          <w:sz w:val="16"/>
          <w:u w:val="single"/>
        </w:rPr>
        <w:t>provided</w:t>
      </w:r>
      <w:r>
        <w:rPr>
          <w:rFonts w:cs="Arial" w:ascii="Arial" w:hAnsi="Arial"/>
          <w:sz w:val="16"/>
        </w:rPr>
        <w:t xml:space="preserve">, </w:t>
      </w:r>
      <w:r>
        <w:rPr>
          <w:rFonts w:cs="Arial" w:ascii="Arial" w:hAnsi="Arial"/>
          <w:sz w:val="16"/>
          <w:u w:val="single"/>
        </w:rPr>
        <w:t>however</w:t>
      </w:r>
      <w:r>
        <w:rPr>
          <w:rFonts w:cs="Arial" w:ascii="Arial" w:hAnsi="Arial"/>
          <w:sz w:val="16"/>
        </w:rPr>
        <w:t>, that in no event shall the Replacement Price be more than the PJM Daily Capacity Credit Clearing Price as defined in the PJM Reliability Assurance Agreement or any  successor thereto.  If Buyer fails to confirm the Capacity Credits in eCapacity from Seller pursuant to the terms and conditions of a Transaction, then for those Capacity Credits not confirmed by Buyer, Buyer shall pay to Seller on the date payment would otherwise be due to Seller hereunder, an amount equal to the positive difference, if any, between the Contract Price set forth below less the Sales Price (except that all references therein to “Energy” shall be replaced by references to “Capacity Credits).”</w:t>
      </w:r>
    </w:p>
    <w:p>
      <w:pPr>
        <w:pStyle w:val="Normal"/>
        <w:spacing w:before="0" w:after="120"/>
        <w:ind w:start="2070" w:end="0"/>
        <w:jc w:val="both"/>
        <w:rPr>
          <w:rFonts w:ascii="Arial" w:hAnsi="Arial" w:cs="Arial"/>
          <w:sz w:val="16"/>
        </w:rPr>
      </w:pPr>
      <w:r>
        <w:rPr>
          <w:rFonts w:cs="Arial" w:ascii="Arial" w:hAnsi="Arial"/>
          <w:sz w:val="16"/>
        </w:rPr>
        <w:t>Seller’s obligation to perform shall be satisfied in full upon the transfer of the Capacity Credits for the Delivery Period in eCapacity.  Notwithstanding Seller’s transfer of Capacity Credits for the entire Delivery Period, the Parties agree that Buyer will pay for Capacity Credits on a monthly basis for each month of the Delivery Period, an amount equal to the Quantity times the Contract Price times the number of days in the applicable calendar month.</w:t>
      </w:r>
    </w:p>
    <w:sectPr>
      <w:headerReference w:type="default" r:id="rId2"/>
      <w:headerReference w:type="first" r:id="rId3"/>
      <w:footerReference w:type="default" r:id="rId4"/>
      <w:footerReference w:type="first" r:id="rId5"/>
      <w:type w:val="nextPage"/>
      <w:pgSz w:w="12240" w:h="15840"/>
      <w:pgMar w:left="720" w:right="720" w:gutter="0" w:header="547" w:top="603" w:footer="432" w:bottom="488"/>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SFooter"/>
        <w:rFonts w:cs="Times New Roman"/>
      </w:rPr>
      <w:t>Finalized Forms 2/Power/PJM-UCC-Capacity Confirm 061500.doc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SFooter"/>
        <w:rFonts w:cs="Times New Roman"/>
        <w:sz w:val="16"/>
        <w:lang w:eastAsia="en-US"/>
      </w:rPr>
      <w:fldChar w:fldCharType="begin"/>
    </w:r>
    <w:r>
      <w:rPr>
        <w:rStyle w:val="DOCSFooter"/>
        <w:sz w:val="16"/>
        <w:rFonts w:cs="Times New Roman"/>
        <w:lang w:eastAsia="en-US"/>
      </w:rPr>
      <w:instrText xml:space="preserve"> FILENAME \p </w:instrText>
    </w:r>
    <w:r>
      <w:rPr>
        <w:rStyle w:val="DOCSFooter"/>
        <w:sz w:val="16"/>
        <w:rFonts w:cs="Times New Roman"/>
        <w:lang w:eastAsia="en-US"/>
      </w:rPr>
      <w:fldChar w:fldCharType="separate"/>
    </w:r>
    <w:r>
      <w:rPr>
        <w:rStyle w:val="DOCSFooter"/>
        <w:sz w:val="16"/>
        <w:rFonts w:cs="Times New Roman"/>
        <w:lang w:eastAsia="en-US"/>
      </w:rPr>
      <w:t>/mnt/main-storage/datasets/enron-docs/doc/Capacity_Credit_Definition__8.29.01_.doc</w:t>
    </w:r>
    <w:r>
      <w:rPr>
        <w:rStyle w:val="DOCSFooter"/>
        <w:sz w:val="16"/>
        <w:rFonts w:cs="Times New Roman"/>
        <w:lang w:eastAsia="en-US"/>
      </w:rPr>
      <w:fldChar w:fldCharType="end"/>
    </w:r>
    <w:r>
      <w:rPr>
        <w:rStyle w:val="DOCSFooter"/>
        <w:rFonts w:cs="Times New Roman"/>
        <w:sz w:val="16"/>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1z0">
    <w:name w:val="WW8Num1z0"/>
    <w:qFormat/>
    <w:rPr>
      <w:rFonts w:ascii="Arial" w:hAnsi="Arial" w:cs="Arial"/>
      <w:b w:val="false"/>
      <w:color w:val="auto"/>
      <w:sz w:val="18"/>
    </w:rPr>
  </w:style>
  <w:style w:type="character" w:styleId="WW8Num2z0">
    <w:name w:val="WW8Num2z0"/>
    <w:qFormat/>
    <w:rPr>
      <w:color w:val="000000"/>
    </w:rPr>
  </w:style>
  <w:style w:type="character" w:styleId="WW8Num3z0">
    <w:name w:val="WW8Num3z0"/>
    <w:qFormat/>
    <w:rPr>
      <w:rFonts w:ascii="Times New Roman Bold" w:hAnsi="Times New Roman Bold" w:cs="BauerBodoni-Bold"/>
      <w:b/>
      <w:i w:val="false"/>
      <w:sz w:val="24"/>
    </w:rPr>
  </w:style>
  <w:style w:type="character" w:styleId="WW8Num3z1">
    <w:name w:val="WW8Num3z1"/>
    <w:qFormat/>
    <w:rPr>
      <w:rFonts w:ascii="Times New Roman" w:hAnsi="Times New Roman" w:cs="Times New Roman"/>
      <w:b w:val="false"/>
      <w:i w:val="false"/>
      <w:sz w:val="24"/>
    </w:rPr>
  </w:style>
  <w:style w:type="character" w:styleId="WW8Num4z0">
    <w:name w:val="WW8Num4z0"/>
    <w:qFormat/>
    <w:rPr>
      <w:rFonts w:ascii="Arial" w:hAnsi="Arial" w:cs="Arial"/>
      <w:sz w:val="18"/>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color w:val="000000"/>
    </w:rPr>
  </w:style>
  <w:style w:type="character" w:styleId="WW8Num19z0">
    <w:name w:val="WW8Num19z0"/>
    <w:qFormat/>
    <w:rPr>
      <w:b w:val="false"/>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outtext">
    <w:name w:val="outtext"/>
    <w:basedOn w:val="DefaultParagraphFont"/>
    <w:qFormat/>
    <w:rPr>
      <w:color w:val="000000"/>
    </w:rPr>
  </w:style>
  <w:style w:type="character" w:styleId="outtexthidden">
    <w:name w:val="outtexthidden"/>
    <w:basedOn w:val="outtext"/>
    <w:qFormat/>
    <w:rPr>
      <w:vanish/>
    </w:rPr>
  </w:style>
  <w:style w:type="character" w:styleId="PageNumber">
    <w:name w:val="page number"/>
    <w:basedOn w:val="DefaultParagraphFont"/>
    <w:rPr/>
  </w:style>
  <w:style w:type="paragraph" w:styleId="Heading">
    <w:name w:val="Heading"/>
    <w:basedOn w:val="Normal"/>
    <w:next w:val="BodyText"/>
    <w:qFormat/>
    <w:pPr>
      <w:jc w:val="center"/>
    </w:pPr>
    <w:rPr>
      <w:sz w:val="32"/>
    </w:rPr>
  </w:style>
  <w:style w:type="paragraph" w:styleId="BodyText">
    <w:name w:val="Body Text"/>
    <w:basedOn w:val="Normal"/>
    <w:pPr>
      <w:jc w:val="both"/>
    </w:pPr>
    <w:rPr>
      <w:rFonts w:ascii="Arial" w:hAnsi="Arial" w:cs="Arial"/>
      <w:sz w:val="18"/>
    </w:rPr>
  </w:style>
  <w:style w:type="paragraph" w:styleId="List">
    <w:name w:val="List"/>
    <w:basedOn w:val="Normal"/>
    <w:pPr>
      <w:numPr>
        <w:ilvl w:val="0"/>
        <w:numId w:val="2"/>
      </w:numPr>
      <w:spacing w:before="0" w:after="240"/>
      <w:jc w:val="both"/>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BodyTextIndent">
    <w:name w:val="Body Text Indent"/>
    <w:basedOn w:val="Normal"/>
    <w:pPr>
      <w:tabs>
        <w:tab w:val="clear" w:pos="720"/>
        <w:tab w:val="left" w:pos="882" w:leader="none"/>
      </w:tabs>
      <w:ind w:hanging="878" w:start="878" w:end="0"/>
      <w:jc w:val="both"/>
    </w:pPr>
    <w:rPr>
      <w:rFonts w:ascii="Arial" w:hAnsi="Arial" w:cs="Arial"/>
      <w:sz w:val="18"/>
    </w:rPr>
  </w:style>
  <w:style w:type="paragraph" w:styleId="BodyTextIndent2">
    <w:name w:val="Body Text Indent 2"/>
    <w:basedOn w:val="Normal"/>
    <w:qFormat/>
    <w:pPr>
      <w:tabs>
        <w:tab w:val="clear" w:pos="720"/>
        <w:tab w:val="left" w:pos="1422" w:leader="none"/>
      </w:tabs>
      <w:ind w:hanging="1426" w:start="1426" w:end="0"/>
      <w:jc w:val="both"/>
    </w:pPr>
    <w:rPr>
      <w:rFonts w:ascii="Arial" w:hAnsi="Arial" w:cs="Arial"/>
      <w:sz w:val="18"/>
    </w:rPr>
  </w:style>
  <w:style w:type="paragraph" w:styleId="BodyTextIndent3">
    <w:name w:val="Body Text Indent 3"/>
    <w:basedOn w:val="Normal"/>
    <w:qFormat/>
    <w:pPr>
      <w:ind w:firstLine="720" w:start="0" w:end="0"/>
      <w:jc w:val="both"/>
    </w:pPr>
    <w:rPr>
      <w:rFonts w:ascii="Arial" w:hAnsi="Arial" w:cs="Arial"/>
      <w:sz w:val="18"/>
    </w:rPr>
  </w:style>
  <w:style w:type="paragraph" w:styleId="BlockText">
    <w:name w:val="Block Text"/>
    <w:basedOn w:val="Normal"/>
    <w:qFormat/>
    <w:pPr>
      <w:spacing w:before="0" w:after="240"/>
      <w:jc w:val="both"/>
    </w:pPr>
    <w:rPr>
      <w:rFonts w:ascii="Arial" w:hAnsi="Arial" w:cs="Arial"/>
      <w:sz w:val="18"/>
    </w:rPr>
  </w:style>
  <w:style w:type="paragraph" w:styleId="TAB1">
    <w:name w:val="TAB1"/>
    <w:basedOn w:val="Normal"/>
    <w:qFormat/>
    <w:pPr>
      <w:spacing w:before="0" w:after="240"/>
      <w:ind w:firstLine="720" w:start="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2001-08-29T18:36:00Z</dcterms:created>
  <dc:creator>Terri E. Harris</dc:creator>
  <dc:description/>
  <dc:language>en-CA</dc:language>
  <cp:lastModifiedBy>204479</cp:lastModifiedBy>
  <cp:lastPrinted>2001-08-29T17:14:00Z</cp:lastPrinted>
  <dcterms:modified xsi:type="dcterms:W3CDTF">2001-08-29T19:44:00Z</dcterms:modified>
  <cp:revision>7</cp:revision>
  <dc:subject>Version 2.0 Build 0203</dc:subject>
  <dc:title>Coal Purchase/Sale Transaction Confirmation  </dc:title>
</cp:coreProperties>
</file>