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Due Diligence Summary</w:t>
      </w:r>
    </w:p>
    <w:p>
      <w:pPr>
        <w:pStyle w:val="Normal"/>
        <w:jc w:val="center"/>
        <w:rPr/>
      </w:pPr>
      <w:r>
        <w:rPr/>
        <w:t>Capacity Center, Inc (CCI)</w:t>
      </w:r>
    </w:p>
    <w:p>
      <w:pPr>
        <w:pStyle w:val="Normal"/>
        <w:jc w:val="center"/>
        <w:rPr/>
      </w:pPr>
      <w:r>
        <w:rPr/>
        <w:t>July 26, 2001</w:t>
      </w:r>
    </w:p>
    <w:p>
      <w:pPr>
        <w:pStyle w:val="Normal"/>
        <w:jc w:val="center"/>
        <w:rPr/>
      </w:pPr>
      <w:r>
        <w:rPr/>
      </w:r>
    </w:p>
    <w:p>
      <w:pPr>
        <w:pStyle w:val="Normal"/>
        <w:rPr/>
      </w:pPr>
      <w:r>
        <w:rPr/>
        <w:t>Attendees:</w:t>
        <w:tab/>
        <w:t>Tommy Yanowski – IT/Project Coordination</w:t>
      </w:r>
    </w:p>
    <w:p>
      <w:pPr>
        <w:pStyle w:val="Normal"/>
        <w:ind w:firstLine="720" w:start="720" w:end="0"/>
        <w:rPr/>
      </w:pPr>
      <w:r>
        <w:rPr/>
        <w:t>Colin Tonks – IT/Gas Fundamentals</w:t>
      </w:r>
    </w:p>
    <w:p>
      <w:pPr>
        <w:pStyle w:val="Normal"/>
        <w:ind w:firstLine="720" w:start="720" w:end="0"/>
        <w:rPr/>
      </w:pPr>
      <w:r>
        <w:rPr/>
        <w:t>Dave Nommensen – IT/Gas Capacity Trading &amp; EDI</w:t>
      </w:r>
    </w:p>
    <w:p>
      <w:pPr>
        <w:pStyle w:val="Normal"/>
        <w:ind w:firstLine="720" w:start="720" w:end="0"/>
        <w:rPr/>
      </w:pPr>
      <w:r>
        <w:rPr/>
        <w:t>Lisa Kinsey – Business Op’s/Logistics &amp; Capacity Trading</w:t>
      </w:r>
    </w:p>
    <w:p>
      <w:pPr>
        <w:pStyle w:val="Normal"/>
        <w:ind w:firstLine="720" w:start="720" w:end="0"/>
        <w:rPr/>
      </w:pPr>
      <w:r>
        <w:rPr/>
        <w:t>Donna Greif – Business Op’s/EDI Coordinator</w:t>
      </w:r>
    </w:p>
    <w:p>
      <w:pPr>
        <w:pStyle w:val="Normal"/>
        <w:rPr/>
      </w:pPr>
      <w:r>
        <w:rPr/>
      </w:r>
    </w:p>
    <w:p>
      <w:pPr>
        <w:pStyle w:val="Normal"/>
        <w:rPr>
          <w:b/>
          <w:bCs/>
        </w:rPr>
      </w:pPr>
      <w:r>
        <w:rPr>
          <w:b/>
          <w:bCs/>
        </w:rPr>
        <w:t>Capacity Center General Comments:</w:t>
      </w:r>
    </w:p>
    <w:p>
      <w:pPr>
        <w:pStyle w:val="Normal"/>
        <w:numPr>
          <w:ilvl w:val="0"/>
          <w:numId w:val="4"/>
        </w:numPr>
        <w:autoSpaceDE w:val="false"/>
        <w:ind w:hanging="380" w:start="1500" w:end="0"/>
        <w:rPr>
          <w:szCs w:val="20"/>
        </w:rPr>
      </w:pPr>
      <w:r>
        <w:rPr>
          <w:szCs w:val="20"/>
        </w:rPr>
        <w:t>The basic Capacity Center offerings of such as the Capacity Shopper, Pipeline Daily Activity Report, System Notices and FT Shipper listing includes the basic information that we would require of such a service.  Items covered were:</w:t>
      </w:r>
    </w:p>
    <w:p>
      <w:pPr>
        <w:pStyle w:val="Normal"/>
        <w:numPr>
          <w:ilvl w:val="0"/>
          <w:numId w:val="4"/>
        </w:numPr>
        <w:autoSpaceDE w:val="false"/>
        <w:ind w:hanging="380" w:start="3020" w:end="0"/>
        <w:rPr>
          <w:szCs w:val="20"/>
        </w:rPr>
      </w:pPr>
      <w:r>
        <w:rPr>
          <w:szCs w:val="20"/>
        </w:rPr>
        <w:t>Releasing Shipper</w:t>
      </w:r>
    </w:p>
    <w:p>
      <w:pPr>
        <w:pStyle w:val="Normal"/>
        <w:numPr>
          <w:ilvl w:val="0"/>
          <w:numId w:val="4"/>
        </w:numPr>
        <w:autoSpaceDE w:val="false"/>
        <w:ind w:hanging="380" w:start="3020" w:end="0"/>
        <w:rPr>
          <w:szCs w:val="20"/>
        </w:rPr>
      </w:pPr>
      <w:r>
        <w:rPr>
          <w:szCs w:val="20"/>
        </w:rPr>
        <w:t>Replacement Shipper</w:t>
      </w:r>
    </w:p>
    <w:p>
      <w:pPr>
        <w:pStyle w:val="Normal"/>
        <w:numPr>
          <w:ilvl w:val="0"/>
          <w:numId w:val="4"/>
        </w:numPr>
        <w:autoSpaceDE w:val="false"/>
        <w:ind w:hanging="380" w:start="3020" w:end="0"/>
        <w:rPr>
          <w:szCs w:val="20"/>
        </w:rPr>
      </w:pPr>
      <w:r>
        <w:rPr>
          <w:szCs w:val="20"/>
        </w:rPr>
        <w:t>Current offer/bid volume and demand dollar amount</w:t>
      </w:r>
    </w:p>
    <w:p>
      <w:pPr>
        <w:pStyle w:val="Normal"/>
        <w:numPr>
          <w:ilvl w:val="0"/>
          <w:numId w:val="4"/>
        </w:numPr>
        <w:autoSpaceDE w:val="false"/>
        <w:ind w:hanging="380" w:start="3020" w:end="0"/>
        <w:rPr>
          <w:szCs w:val="20"/>
        </w:rPr>
      </w:pPr>
      <w:r>
        <w:rPr>
          <w:szCs w:val="20"/>
        </w:rPr>
        <w:t>Term of contract</w:t>
      </w:r>
    </w:p>
    <w:p>
      <w:pPr>
        <w:pStyle w:val="Normal"/>
        <w:numPr>
          <w:ilvl w:val="0"/>
          <w:numId w:val="4"/>
        </w:numPr>
        <w:autoSpaceDE w:val="false"/>
        <w:ind w:hanging="380" w:start="3020" w:end="0"/>
        <w:rPr>
          <w:szCs w:val="20"/>
        </w:rPr>
      </w:pPr>
      <w:r>
        <w:rPr>
          <w:szCs w:val="20"/>
        </w:rPr>
        <w:t>Recallable/Non-recallable rights</w:t>
      </w:r>
    </w:p>
    <w:p>
      <w:pPr>
        <w:pStyle w:val="Normal"/>
        <w:numPr>
          <w:ilvl w:val="0"/>
          <w:numId w:val="4"/>
        </w:numPr>
        <w:autoSpaceDE w:val="false"/>
        <w:ind w:hanging="380" w:start="3020" w:end="0"/>
        <w:rPr>
          <w:szCs w:val="20"/>
        </w:rPr>
      </w:pPr>
      <w:r>
        <w:rPr>
          <w:szCs w:val="20"/>
        </w:rPr>
        <w:t>Primary receipt and delivery points</w:t>
      </w:r>
    </w:p>
    <w:p>
      <w:pPr>
        <w:pStyle w:val="Normal"/>
        <w:numPr>
          <w:ilvl w:val="0"/>
          <w:numId w:val="4"/>
        </w:numPr>
        <w:autoSpaceDE w:val="false"/>
        <w:ind w:hanging="380" w:start="3020" w:end="0"/>
        <w:rPr>
          <w:szCs w:val="20"/>
        </w:rPr>
      </w:pPr>
      <w:r>
        <w:rPr>
          <w:szCs w:val="20"/>
        </w:rPr>
        <w:t>Offer/Bid terms</w:t>
      </w:r>
    </w:p>
    <w:p>
      <w:pPr>
        <w:pStyle w:val="Normal"/>
        <w:numPr>
          <w:ilvl w:val="0"/>
          <w:numId w:val="4"/>
        </w:numPr>
        <w:autoSpaceDE w:val="false"/>
        <w:ind w:hanging="380" w:start="3020" w:end="0"/>
        <w:rPr>
          <w:szCs w:val="20"/>
        </w:rPr>
      </w:pPr>
      <w:r>
        <w:rPr>
          <w:szCs w:val="20"/>
        </w:rPr>
        <w:t>Length of posting.</w:t>
      </w:r>
    </w:p>
    <w:p>
      <w:pPr>
        <w:pStyle w:val="Normal"/>
        <w:numPr>
          <w:ilvl w:val="0"/>
          <w:numId w:val="4"/>
        </w:numPr>
        <w:autoSpaceDE w:val="false"/>
        <w:ind w:hanging="380" w:start="1500" w:end="0"/>
        <w:rPr>
          <w:szCs w:val="20"/>
        </w:rPr>
      </w:pPr>
      <w:r>
        <w:rPr>
          <w:szCs w:val="20"/>
        </w:rPr>
        <w:t>Two of the services offered through Capacity Center, Critical System Notices and Operational Available Capacity, have already been developed in-house at Enron.  In the case of Operational Available Capacity our system is much better than theirs.</w:t>
      </w:r>
    </w:p>
    <w:p>
      <w:pPr>
        <w:pStyle w:val="Normal"/>
        <w:numPr>
          <w:ilvl w:val="0"/>
          <w:numId w:val="4"/>
        </w:numPr>
        <w:autoSpaceDE w:val="false"/>
        <w:ind w:hanging="380" w:start="1500" w:end="0"/>
        <w:rPr>
          <w:szCs w:val="20"/>
        </w:rPr>
      </w:pPr>
      <w:r>
        <w:rPr>
          <w:szCs w:val="20"/>
        </w:rPr>
        <w:t>Data requests are made batch through a web front end and the data is delivered via email as updates become available.  There is no screen available to view data on-line.</w:t>
      </w:r>
    </w:p>
    <w:p>
      <w:pPr>
        <w:pStyle w:val="Normal"/>
        <w:numPr>
          <w:ilvl w:val="0"/>
          <w:numId w:val="4"/>
        </w:numPr>
        <w:autoSpaceDE w:val="false"/>
        <w:ind w:hanging="380" w:start="1500" w:end="0"/>
        <w:rPr>
          <w:szCs w:val="20"/>
        </w:rPr>
      </w:pPr>
      <w:r>
        <w:rPr>
          <w:szCs w:val="20"/>
        </w:rPr>
        <w:t>One of the most attractive aspects of Capacity Center is their awarded capacity database, which dates back to 1995.   Skipping Stone still wants access to this database for services that they would like to provide Enron's competitors.  Enron will need to decide how important this database is and whether they would like to have exclusive access to the database.</w:t>
      </w:r>
    </w:p>
    <w:p>
      <w:pPr>
        <w:pStyle w:val="Normal"/>
        <w:numPr>
          <w:ilvl w:val="0"/>
          <w:numId w:val="4"/>
        </w:numPr>
        <w:autoSpaceDE w:val="false"/>
        <w:ind w:hanging="380" w:start="1500" w:end="0"/>
        <w:rPr/>
      </w:pPr>
      <w:r>
        <w:rPr/>
        <w:t>Of the 49 pipelines from which they receive data from via EDI, 26 are operating without a Trading Partner Agreement (TPA).  This has led to some pipelines not honoring data exchange for different datasets or after acquisitions.  The existing TPA’s with the pipelines are with 4 entities, Capacity Center Inc., TransCapacity, Skipping Stone Inc. and National Capacity Services Corp.</w:t>
      </w:r>
    </w:p>
    <w:p>
      <w:pPr>
        <w:pStyle w:val="Normal"/>
        <w:numPr>
          <w:ilvl w:val="0"/>
          <w:numId w:val="4"/>
        </w:numPr>
        <w:autoSpaceDE w:val="false"/>
        <w:ind w:hanging="380" w:start="1500" w:end="0"/>
        <w:rPr>
          <w:szCs w:val="20"/>
        </w:rPr>
      </w:pPr>
      <w:r>
        <w:rPr>
          <w:szCs w:val="20"/>
        </w:rPr>
        <w:t>They currently scrape Operationally Available Capacity from the web sites of 12 pipelines, which is less than the 60 sites we currently scrape today at Enron.</w:t>
      </w:r>
    </w:p>
    <w:p>
      <w:pPr>
        <w:pStyle w:val="Normal"/>
        <w:numPr>
          <w:ilvl w:val="0"/>
          <w:numId w:val="4"/>
        </w:numPr>
        <w:autoSpaceDE w:val="false"/>
        <w:ind w:hanging="380" w:start="1500" w:end="0"/>
        <w:rPr>
          <w:szCs w:val="20"/>
        </w:rPr>
      </w:pPr>
      <w:r>
        <w:rPr>
          <w:szCs w:val="20"/>
        </w:rPr>
        <w:t>System notices are collected every hour except for between 2 &amp; 3pm.</w:t>
      </w:r>
    </w:p>
    <w:p>
      <w:pPr>
        <w:pStyle w:val="Normal"/>
        <w:numPr>
          <w:ilvl w:val="0"/>
          <w:numId w:val="4"/>
        </w:numPr>
        <w:autoSpaceDE w:val="false"/>
        <w:ind w:hanging="380" w:start="1500" w:end="0"/>
        <w:rPr>
          <w:szCs w:val="20"/>
        </w:rPr>
      </w:pPr>
      <w:r>
        <w:rPr>
          <w:szCs w:val="20"/>
        </w:rPr>
        <w:t>Requests for Offers and Awards are sent about every 2 hours to the pipelines with a sweep of all pipelines occurring between 1:30 &amp; 2pm</w:t>
      </w:r>
    </w:p>
    <w:p>
      <w:pPr>
        <w:pStyle w:val="Normal"/>
        <w:autoSpaceDE w:val="false"/>
        <w:ind w:start="1120" w:end="0"/>
        <w:rPr>
          <w:szCs w:val="20"/>
        </w:rPr>
      </w:pPr>
      <w:r>
        <w:rPr>
          <w:szCs w:val="20"/>
        </w:rPr>
      </w:r>
    </w:p>
    <w:p>
      <w:pPr>
        <w:pStyle w:val="Heading1"/>
        <w:ind w:hanging="0" w:start="0"/>
        <w:rPr/>
      </w:pPr>
      <w:r>
        <w:rPr/>
        <w:t>Deal Maker General Comments</w:t>
      </w:r>
    </w:p>
    <w:p>
      <w:pPr>
        <w:pStyle w:val="Normal"/>
        <w:numPr>
          <w:ilvl w:val="0"/>
          <w:numId w:val="4"/>
        </w:numPr>
        <w:autoSpaceDE w:val="false"/>
        <w:ind w:hanging="380" w:start="1500" w:end="0"/>
        <w:rPr>
          <w:szCs w:val="20"/>
        </w:rPr>
      </w:pPr>
      <w:r>
        <w:rPr>
          <w:szCs w:val="20"/>
        </w:rPr>
        <w:t>The DealMaker Demo revealed that they have created a platform to trade capacity between parties but have not developed the program any further.  The approach that they have taken towards DealMaker is based loosely on the Quicktrade method of deal transaction.  If one of the transacting parties fails to provide capacity at a point Skipping Stone will step in and purchase the capacity for the party.  It was clear that a lot of work would need to be done to make DealMaker interactive on the back end.  There is no coding in place to send EDI back to pipelines to transact any deals that have been done on DealMaker.  It seems that Skipping Stone is stuck on how to effectively end the trading transactions without getting in the middle should one of the parties be unable to provide transport capacity.  This may explain why they have not finished coding on the back end.</w:t>
      </w:r>
    </w:p>
    <w:p>
      <w:pPr>
        <w:pStyle w:val="Normal"/>
        <w:numPr>
          <w:ilvl w:val="0"/>
          <w:numId w:val="4"/>
        </w:numPr>
        <w:tabs>
          <w:tab w:val="left" w:pos="720" w:leader="none"/>
        </w:tabs>
        <w:autoSpaceDE w:val="false"/>
        <w:ind w:hanging="380" w:start="1500" w:end="0"/>
        <w:rPr/>
      </w:pPr>
      <w:r>
        <w:rPr/>
        <w:t>Deal Maker is based on a one-to-many trading model, i.e. one person might post an offer to sell, and more than one bidder may respond.  The various bidders are only visible to the seller.</w:t>
      </w:r>
    </w:p>
    <w:p>
      <w:pPr>
        <w:pStyle w:val="Normal"/>
        <w:numPr>
          <w:ilvl w:val="0"/>
          <w:numId w:val="4"/>
        </w:numPr>
        <w:autoSpaceDE w:val="false"/>
        <w:ind w:hanging="380" w:start="1500" w:end="0"/>
        <w:rPr/>
      </w:pPr>
      <w:r>
        <w:rPr/>
        <w:t>The amount of data that must be supplied by the initial dealmaker is rather lengthy.  This may be fine unless the trading volumes are desired to approach the level of EOL physical or financial natural gas trades.</w:t>
      </w:r>
    </w:p>
    <w:p>
      <w:pPr>
        <w:pStyle w:val="Normal"/>
        <w:numPr>
          <w:ilvl w:val="0"/>
          <w:numId w:val="4"/>
        </w:numPr>
        <w:autoSpaceDE w:val="false"/>
        <w:ind w:hanging="380" w:start="1500" w:end="0"/>
        <w:rPr/>
      </w:pPr>
      <w:r>
        <w:rPr/>
        <w:t>There is no concept of a Position Manager.</w:t>
      </w:r>
    </w:p>
    <w:p>
      <w:pPr>
        <w:pStyle w:val="Normal"/>
        <w:numPr>
          <w:ilvl w:val="0"/>
          <w:numId w:val="4"/>
        </w:numPr>
        <w:autoSpaceDE w:val="false"/>
        <w:ind w:hanging="380" w:start="1500" w:end="0"/>
        <w:rPr/>
      </w:pPr>
      <w:r>
        <w:rPr/>
        <w:t>There is not a strategy for fulfilling capacity contracts that go physical.</w:t>
      </w:r>
    </w:p>
    <w:p>
      <w:pPr>
        <w:pStyle w:val="Normal"/>
        <w:numPr>
          <w:ilvl w:val="0"/>
          <w:numId w:val="4"/>
        </w:numPr>
        <w:autoSpaceDE w:val="false"/>
        <w:ind w:hanging="380" w:start="1500" w:end="0"/>
        <w:rPr/>
      </w:pPr>
      <w:r>
        <w:rPr/>
        <w:t>An “auction” model might be more desirable than a “negotiation” model.</w:t>
      </w:r>
    </w:p>
    <w:p>
      <w:pPr>
        <w:pStyle w:val="Normal"/>
        <w:numPr>
          <w:ilvl w:val="0"/>
          <w:numId w:val="4"/>
        </w:numPr>
        <w:autoSpaceDE w:val="false"/>
        <w:ind w:hanging="380" w:start="1500" w:end="0"/>
        <w:rPr/>
      </w:pPr>
      <w:r>
        <w:rPr/>
        <w:t>There did not seem to be any download mechanism to allow customers to interface their trades with their legacy systems.</w:t>
      </w:r>
    </w:p>
    <w:p>
      <w:pPr>
        <w:pStyle w:val="Normal"/>
        <w:numPr>
          <w:ilvl w:val="0"/>
          <w:numId w:val="3"/>
        </w:numPr>
        <w:autoSpaceDE w:val="false"/>
        <w:ind w:hanging="315" w:start="1435" w:end="0"/>
        <w:rPr/>
      </w:pPr>
      <w:r>
        <w:rPr/>
        <w:t>There is currently no billing system tied into Deal Maker to automate settlement processes.</w:t>
      </w:r>
    </w:p>
    <w:p>
      <w:pPr>
        <w:pStyle w:val="Normal"/>
        <w:autoSpaceDE w:val="false"/>
        <w:ind w:hanging="315" w:start="1435" w:end="0"/>
        <w:rPr/>
      </w:pPr>
      <w:r>
        <w:rPr/>
      </w:r>
    </w:p>
    <w:p>
      <w:pPr>
        <w:pStyle w:val="Heading1"/>
        <w:autoSpaceDE w:val="true"/>
        <w:ind w:hanging="0" w:start="0"/>
        <w:rPr>
          <w:szCs w:val="24"/>
        </w:rPr>
      </w:pPr>
      <w:r>
        <w:rPr>
          <w:szCs w:val="24"/>
        </w:rPr>
        <w:t>National Registry</w:t>
      </w:r>
    </w:p>
    <w:p>
      <w:pPr>
        <w:pStyle w:val="Normal"/>
        <w:numPr>
          <w:ilvl w:val="0"/>
          <w:numId w:val="2"/>
        </w:numPr>
        <w:rPr/>
      </w:pPr>
      <w:r>
        <w:rPr/>
        <w:t>Formed in ’92 – access previously was not available; non-profit org</w:t>
      </w:r>
    </w:p>
    <w:p>
      <w:pPr>
        <w:pStyle w:val="Normal"/>
        <w:numPr>
          <w:ilvl w:val="0"/>
          <w:numId w:val="2"/>
        </w:numPr>
        <w:rPr/>
      </w:pPr>
      <w:r>
        <w:rPr/>
        <w:t>CCI put contract in place to eliminate issues as it relates to gather information</w:t>
      </w:r>
    </w:p>
    <w:p>
      <w:pPr>
        <w:pStyle w:val="Normal"/>
        <w:numPr>
          <w:ilvl w:val="0"/>
          <w:numId w:val="2"/>
        </w:numPr>
        <w:rPr/>
      </w:pPr>
      <w:r>
        <w:rPr/>
        <w:t xml:space="preserve">Data model for the historical database is in “data registry”; </w:t>
      </w:r>
    </w:p>
    <w:p>
      <w:pPr>
        <w:pStyle w:val="Normal"/>
        <w:numPr>
          <w:ilvl w:val="0"/>
          <w:numId w:val="2"/>
        </w:numPr>
        <w:rPr/>
      </w:pPr>
      <w:r>
        <w:rPr/>
        <w:t>CCI has contract with National Registry to develop historical database; Skipping Stone has contract with CCI to access historical information</w:t>
      </w:r>
    </w:p>
    <w:p>
      <w:pPr>
        <w:pStyle w:val="Normal"/>
        <w:numPr>
          <w:ilvl w:val="0"/>
          <w:numId w:val="2"/>
        </w:numPr>
        <w:rPr/>
      </w:pPr>
      <w:r>
        <w:rPr/>
        <w:t>SSI has rights to the data for client focused; studies; strategic management… consulting studies.</w:t>
      </w:r>
    </w:p>
    <w:p>
      <w:pPr>
        <w:pStyle w:val="Normal"/>
        <w:numPr>
          <w:ilvl w:val="0"/>
          <w:numId w:val="2"/>
        </w:numPr>
        <w:rPr/>
      </w:pPr>
      <w:r>
        <w:rPr/>
        <w:t xml:space="preserve">National Registry has right to use data in a certain way; reports on activity; trends; promote; comment on; etc…  </w:t>
      </w:r>
    </w:p>
    <w:p>
      <w:pPr>
        <w:pStyle w:val="Normal"/>
        <w:numPr>
          <w:ilvl w:val="0"/>
          <w:numId w:val="2"/>
        </w:numPr>
        <w:rPr/>
      </w:pPr>
      <w:r>
        <w:rPr/>
        <w:t>Access for extractment purposes only</w:t>
      </w:r>
    </w:p>
    <w:p>
      <w:pPr>
        <w:pStyle w:val="Normal"/>
        <w:numPr>
          <w:ilvl w:val="0"/>
          <w:numId w:val="2"/>
        </w:numPr>
        <w:rPr/>
      </w:pPr>
      <w:r>
        <w:rPr/>
        <w:t>SSI wants to retain access to this environment.</w:t>
      </w:r>
    </w:p>
    <w:p>
      <w:pPr>
        <w:pStyle w:val="Normal"/>
        <w:rPr/>
      </w:pPr>
      <w:r>
        <w:rPr/>
      </w:r>
    </w:p>
    <w:p>
      <w:pPr>
        <w:pStyle w:val="Heading1"/>
        <w:autoSpaceDE w:val="true"/>
        <w:ind w:hanging="0" w:start="0"/>
        <w:rPr>
          <w:szCs w:val="24"/>
        </w:rPr>
      </w:pPr>
      <w:r>
        <w:rPr>
          <w:szCs w:val="24"/>
        </w:rPr>
        <w:t>Technology Summary</w:t>
      </w:r>
    </w:p>
    <w:p>
      <w:pPr>
        <w:pStyle w:val="Normal"/>
        <w:numPr>
          <w:ilvl w:val="0"/>
          <w:numId w:val="3"/>
        </w:numPr>
        <w:tabs>
          <w:tab w:val="left" w:pos="720" w:leader="none"/>
        </w:tabs>
        <w:autoSpaceDE w:val="false"/>
        <w:ind w:hanging="360" w:start="720" w:end="0"/>
        <w:rPr/>
      </w:pPr>
      <w:r>
        <w:rPr/>
        <w:t>Technology is mostly outdated, both hardware and software</w:t>
      </w:r>
    </w:p>
    <w:p>
      <w:pPr>
        <w:pStyle w:val="Normal"/>
        <w:numPr>
          <w:ilvl w:val="0"/>
          <w:numId w:val="3"/>
        </w:numPr>
        <w:autoSpaceDE w:val="false"/>
        <w:ind w:hanging="360" w:start="720" w:end="0"/>
        <w:rPr/>
      </w:pPr>
      <w:r>
        <w:rPr/>
        <w:t>Newer development (DealMaker) is using current technology but is not complete</w:t>
      </w:r>
    </w:p>
    <w:p>
      <w:pPr>
        <w:pStyle w:val="Normal"/>
        <w:numPr>
          <w:ilvl w:val="0"/>
          <w:numId w:val="3"/>
        </w:numPr>
        <w:autoSpaceDE w:val="false"/>
        <w:ind w:hanging="360" w:start="720" w:end="0"/>
        <w:rPr>
          <w:szCs w:val="20"/>
        </w:rPr>
      </w:pPr>
      <w:r>
        <w:rPr>
          <w:szCs w:val="20"/>
        </w:rPr>
        <w:t>Modern equipment for developers.</w:t>
      </w:r>
    </w:p>
    <w:p>
      <w:pPr>
        <w:pStyle w:val="Normal"/>
        <w:numPr>
          <w:ilvl w:val="0"/>
          <w:numId w:val="4"/>
        </w:numPr>
        <w:autoSpaceDE w:val="false"/>
        <w:ind w:hanging="20" w:start="380" w:end="0"/>
        <w:rPr>
          <w:szCs w:val="20"/>
        </w:rPr>
      </w:pPr>
      <w:r>
        <w:rPr>
          <w:szCs w:val="20"/>
        </w:rPr>
        <w:t xml:space="preserve">    </w:t>
      </w:r>
      <w:r>
        <w:rPr>
          <w:szCs w:val="20"/>
        </w:rPr>
        <w:t xml:space="preserve">Archaic equipment and O/Ss for applications. </w:t>
      </w:r>
    </w:p>
    <w:p>
      <w:pPr>
        <w:pStyle w:val="Normal"/>
        <w:numPr>
          <w:ilvl w:val="0"/>
          <w:numId w:val="4"/>
        </w:numPr>
        <w:autoSpaceDE w:val="false"/>
        <w:ind w:hanging="20" w:start="380" w:end="0"/>
        <w:rPr>
          <w:szCs w:val="20"/>
        </w:rPr>
      </w:pPr>
      <w:r>
        <w:rPr>
          <w:szCs w:val="20"/>
        </w:rPr>
        <w:t xml:space="preserve">    </w:t>
      </w:r>
      <w:r>
        <w:rPr>
          <w:szCs w:val="20"/>
        </w:rPr>
        <w:t>No Standard O/S in place for applications: O/Ss include Linux, Dos, NT 4.0 etc.</w:t>
      </w:r>
    </w:p>
    <w:p>
      <w:pPr>
        <w:pStyle w:val="Normal"/>
        <w:numPr>
          <w:ilvl w:val="0"/>
          <w:numId w:val="4"/>
        </w:numPr>
        <w:autoSpaceDE w:val="false"/>
        <w:ind w:hanging="20" w:start="380" w:end="0"/>
        <w:rPr>
          <w:szCs w:val="20"/>
        </w:rPr>
      </w:pPr>
      <w:r>
        <w:rPr>
          <w:szCs w:val="20"/>
        </w:rPr>
        <w:t xml:space="preserve">    </w:t>
      </w:r>
      <w:r>
        <w:rPr>
          <w:szCs w:val="20"/>
        </w:rPr>
        <w:t>Shell application running in interactive mode, appears to be no services.</w:t>
      </w:r>
    </w:p>
    <w:p>
      <w:pPr>
        <w:pStyle w:val="Normal"/>
        <w:numPr>
          <w:ilvl w:val="0"/>
          <w:numId w:val="4"/>
        </w:numPr>
        <w:autoSpaceDE w:val="false"/>
        <w:ind w:hanging="380" w:start="740" w:end="0"/>
        <w:rPr>
          <w:szCs w:val="20"/>
        </w:rPr>
      </w:pPr>
      <w:r>
        <w:rPr>
          <w:szCs w:val="20"/>
        </w:rPr>
        <w:t>Presently using Oracle 7 (Novell), with a plan to migrate to Oracle 8i (Sun                                                                                                                                             Solaris)</w:t>
      </w:r>
    </w:p>
    <w:p>
      <w:pPr>
        <w:pStyle w:val="Normal"/>
        <w:numPr>
          <w:ilvl w:val="0"/>
          <w:numId w:val="4"/>
        </w:numPr>
        <w:autoSpaceDE w:val="false"/>
        <w:ind w:hanging="20" w:start="400" w:end="0"/>
        <w:rPr>
          <w:szCs w:val="20"/>
        </w:rPr>
      </w:pPr>
      <w:r>
        <w:rPr>
          <w:szCs w:val="20"/>
        </w:rPr>
        <w:t xml:space="preserve">    </w:t>
      </w:r>
      <w:r>
        <w:rPr>
          <w:szCs w:val="20"/>
        </w:rPr>
        <w:t>Connection to the Internet is via a T1, with dialup backup.</w:t>
      </w:r>
    </w:p>
    <w:p>
      <w:pPr>
        <w:pStyle w:val="Normal"/>
        <w:numPr>
          <w:ilvl w:val="0"/>
          <w:numId w:val="4"/>
        </w:numPr>
        <w:autoSpaceDE w:val="false"/>
        <w:ind w:hanging="360" w:start="720" w:end="0"/>
        <w:rPr>
          <w:szCs w:val="20"/>
        </w:rPr>
      </w:pPr>
      <w:r>
        <w:rPr>
          <w:szCs w:val="20"/>
        </w:rPr>
        <w:t>Redundancy is achieved by physically switching a duplicate machine on, no software redundancy.</w:t>
      </w:r>
    </w:p>
    <w:p>
      <w:pPr>
        <w:pStyle w:val="Normal"/>
        <w:numPr>
          <w:ilvl w:val="0"/>
          <w:numId w:val="4"/>
        </w:numPr>
        <w:autoSpaceDE w:val="false"/>
        <w:ind w:hanging="360" w:start="720" w:end="0"/>
        <w:rPr>
          <w:szCs w:val="20"/>
        </w:rPr>
      </w:pPr>
      <w:r>
        <w:rPr>
          <w:szCs w:val="20"/>
        </w:rPr>
        <w:t>Appears to be no production performance monitoring tools. Performance probably managed manually.</w:t>
      </w:r>
    </w:p>
    <w:p>
      <w:pPr>
        <w:pStyle w:val="Normal"/>
        <w:numPr>
          <w:ilvl w:val="0"/>
          <w:numId w:val="4"/>
        </w:numPr>
        <w:autoSpaceDE w:val="false"/>
        <w:ind w:hanging="360" w:start="720" w:end="0"/>
        <w:rPr>
          <w:szCs w:val="20"/>
        </w:rPr>
      </w:pPr>
      <w:r>
        <w:rPr>
          <w:szCs w:val="20"/>
        </w:rPr>
        <w:t>CC file and DB run on HP platform. Application servers for extranet adopt MS IIS/ASP technologies.</w:t>
      </w:r>
    </w:p>
    <w:p>
      <w:pPr>
        <w:pStyle w:val="Normal"/>
        <w:numPr>
          <w:ilvl w:val="0"/>
          <w:numId w:val="4"/>
        </w:numPr>
        <w:autoSpaceDE w:val="false"/>
        <w:ind w:hanging="360" w:start="720" w:end="0"/>
        <w:rPr>
          <w:szCs w:val="20"/>
        </w:rPr>
      </w:pPr>
      <w:r>
        <w:rPr>
          <w:szCs w:val="20"/>
        </w:rPr>
        <w:t>H/W + S/W can be monitored over VPN.</w:t>
      </w:r>
    </w:p>
    <w:p>
      <w:pPr>
        <w:pStyle w:val="Normal"/>
        <w:numPr>
          <w:ilvl w:val="0"/>
          <w:numId w:val="4"/>
        </w:numPr>
        <w:autoSpaceDE w:val="false"/>
        <w:ind w:hanging="360" w:start="720" w:end="0"/>
        <w:rPr>
          <w:szCs w:val="20"/>
        </w:rPr>
      </w:pPr>
      <w:r>
        <w:rPr>
          <w:szCs w:val="20"/>
        </w:rPr>
        <w:t xml:space="preserve">Appears to be no project management documentation available. </w:t>
      </w:r>
    </w:p>
    <w:p>
      <w:pPr>
        <w:pStyle w:val="Normal"/>
        <w:numPr>
          <w:ilvl w:val="0"/>
          <w:numId w:val="4"/>
        </w:numPr>
        <w:autoSpaceDE w:val="false"/>
        <w:ind w:hanging="360" w:start="720" w:end="0"/>
        <w:rPr>
          <w:szCs w:val="20"/>
        </w:rPr>
      </w:pPr>
      <w:r>
        <w:rPr>
          <w:szCs w:val="20"/>
        </w:rPr>
        <w:t>Basic system and operation documentation provided in a manual.</w:t>
      </w:r>
    </w:p>
    <w:p>
      <w:pPr>
        <w:pStyle w:val="Normal"/>
        <w:numPr>
          <w:ilvl w:val="0"/>
          <w:numId w:val="4"/>
        </w:numPr>
        <w:autoSpaceDE w:val="false"/>
        <w:ind w:hanging="360" w:start="720" w:end="0"/>
        <w:rPr>
          <w:szCs w:val="20"/>
        </w:rPr>
      </w:pPr>
      <w:r>
        <w:rPr>
          <w:szCs w:val="20"/>
        </w:rPr>
        <w:t>Source code stored in MS Source Safe.</w:t>
      </w:r>
    </w:p>
    <w:p>
      <w:pPr>
        <w:pStyle w:val="Normal"/>
        <w:numPr>
          <w:ilvl w:val="0"/>
          <w:numId w:val="4"/>
        </w:numPr>
        <w:autoSpaceDE w:val="false"/>
        <w:ind w:hanging="360" w:start="720" w:end="0"/>
        <w:rPr>
          <w:szCs w:val="20"/>
        </w:rPr>
      </w:pPr>
      <w:r>
        <w:rPr>
          <w:szCs w:val="20"/>
        </w:rPr>
        <w:t>In terms of the CC data interactions with EDI, the technology and hardware used is extremely archaic. From an infrastructure perspective, this equipment + software would not conform to Enron standards and would require significant re-structuring and re-coding. This especially is apparent in the use of a manual fail over system, based on duplication.</w:t>
      </w:r>
    </w:p>
    <w:p>
      <w:pPr>
        <w:pStyle w:val="Normal"/>
        <w:numPr>
          <w:ilvl w:val="0"/>
          <w:numId w:val="4"/>
        </w:numPr>
        <w:autoSpaceDE w:val="false"/>
        <w:ind w:hanging="360" w:start="720" w:end="0"/>
        <w:rPr>
          <w:szCs w:val="20"/>
        </w:rPr>
      </w:pPr>
      <w:r>
        <w:rPr>
          <w:szCs w:val="20"/>
        </w:rPr>
        <w:t>CCI currently has about 15 people supporting the system today.  The breakdown is as follows:</w:t>
      </w:r>
    </w:p>
    <w:p>
      <w:pPr>
        <w:pStyle w:val="Normal"/>
        <w:autoSpaceDE w:val="false"/>
        <w:ind w:start="2160" w:end="0"/>
        <w:rPr>
          <w:szCs w:val="20"/>
        </w:rPr>
      </w:pPr>
      <w:r>
        <w:rPr>
          <w:szCs w:val="20"/>
        </w:rPr>
        <w:t>Development Manager</w:t>
        <w:tab/>
        <w:t>1</w:t>
      </w:r>
    </w:p>
    <w:p>
      <w:pPr>
        <w:pStyle w:val="Normal"/>
        <w:ind w:hanging="20" w:start="360" w:end="0"/>
        <w:rPr/>
      </w:pPr>
      <w:r>
        <w:rPr/>
        <w:tab/>
        <w:tab/>
        <w:tab/>
        <w:tab/>
        <w:t>Sr. Architects</w:t>
        <w:tab/>
        <w:tab/>
        <w:tab/>
        <w:t>2</w:t>
      </w:r>
    </w:p>
    <w:p>
      <w:pPr>
        <w:pStyle w:val="Normal"/>
        <w:ind w:hanging="20" w:start="360" w:end="0"/>
        <w:rPr/>
      </w:pPr>
      <w:r>
        <w:rPr/>
        <w:tab/>
        <w:tab/>
        <w:tab/>
        <w:tab/>
        <w:t>Full Time Developers</w:t>
        <w:tab/>
        <w:tab/>
        <w:t>3</w:t>
      </w:r>
    </w:p>
    <w:p>
      <w:pPr>
        <w:pStyle w:val="Normal"/>
        <w:ind w:hanging="20" w:start="360" w:end="0"/>
        <w:rPr/>
      </w:pPr>
      <w:r>
        <w:rPr/>
        <w:tab/>
        <w:tab/>
        <w:tab/>
        <w:tab/>
        <w:t>As Needed Developers</w:t>
        <w:tab/>
        <w:t>2</w:t>
      </w:r>
    </w:p>
    <w:p>
      <w:pPr>
        <w:pStyle w:val="Normal"/>
        <w:ind w:hanging="20" w:start="360" w:end="0"/>
        <w:rPr/>
      </w:pPr>
      <w:r>
        <w:rPr/>
        <w:tab/>
        <w:tab/>
        <w:tab/>
        <w:tab/>
        <w:t>Hardware Operations</w:t>
        <w:tab/>
        <w:tab/>
        <w:t>3</w:t>
      </w:r>
    </w:p>
    <w:p>
      <w:pPr>
        <w:pStyle w:val="Normal"/>
        <w:ind w:hanging="20" w:start="360" w:end="0"/>
        <w:rPr/>
      </w:pPr>
      <w:r>
        <w:rPr/>
        <w:tab/>
        <w:tab/>
        <w:tab/>
        <w:tab/>
        <w:t>Application Operations</w:t>
        <w:tab/>
        <w:t>4</w:t>
      </w:r>
    </w:p>
    <w:p>
      <w:pPr>
        <w:pStyle w:val="Normal"/>
        <w:autoSpaceDE w:val="false"/>
        <w:ind w:hanging="20" w:end="0"/>
        <w:rPr/>
      </w:pPr>
      <w:r>
        <w:rPr/>
      </w:r>
    </w:p>
    <w:p>
      <w:pPr>
        <w:pStyle w:val="Normal"/>
        <w:autoSpaceDE w:val="false"/>
        <w:ind w:hanging="20" w:end="0"/>
        <w:rPr>
          <w:szCs w:val="20"/>
        </w:rPr>
      </w:pPr>
      <w:r>
        <w:rPr>
          <w:szCs w:val="20"/>
        </w:rPr>
        <w:tab/>
        <w:tab/>
      </w:r>
    </w:p>
    <w:p>
      <w:pPr>
        <w:pStyle w:val="Heading2"/>
        <w:rPr/>
      </w:pPr>
      <w:r>
        <w:rPr/>
        <w:t>Overall Summary</w:t>
      </w:r>
    </w:p>
    <w:p>
      <w:pPr>
        <w:pStyle w:val="Normal"/>
        <w:autoSpaceDE w:val="false"/>
        <w:ind w:hanging="20" w:end="0"/>
        <w:rPr>
          <w:szCs w:val="20"/>
        </w:rPr>
      </w:pPr>
      <w:r>
        <w:rPr>
          <w:szCs w:val="20"/>
        </w:rPr>
        <w:t>CCI does a good job in extracting posted bids and awards from 49 different pipelines via EDI.  The technology used to do this is archaic and does not meet Enron’s current standards but is understandable given the start up of this application in the early 90’s.  There is also a concern about the ongoing EDI maintenance with the pipelines since not all have signed Trading Partner Agreements.  CCI’s effort to scrape operationally available data from the pipeline web sites is well behind what we a currently doing at Enron today.  The Deal Maker application is being developed using newer technologies but is far from complete and may have little value to Enron given EOL.  If a decision is made to go forward with the purchase due to the value of the bid and award information then we will have quite a transition ahead of us.  CCI would like to continue hosting the application for a fee but given the fact that they have 15 people supporting it today it may be hard to reach agreement on an operating or transition agreement.</w:t>
      </w:r>
    </w:p>
    <w:p>
      <w:pPr>
        <w:pStyle w:val="Normal"/>
        <w:ind w:hanging="20" w:start="360" w:end="0"/>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9"/>
      <w:numFmt w:val="bullet"/>
      <w:lvlText w:val=""/>
      <w:lvlJc w:val="start"/>
      <w:pPr>
        <w:tabs>
          <w:tab w:val="num" w:pos="1080"/>
        </w:tabs>
        <w:ind w:start="1080" w:hanging="36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Cs w:val="20"/>
    </w:rPr>
  </w:style>
  <w:style w:type="paragraph" w:styleId="Heading2">
    <w:name w:val="heading 2"/>
    <w:basedOn w:val="Normal"/>
    <w:next w:val="Normal"/>
    <w:qFormat/>
    <w:pPr>
      <w:keepNext w:val="true"/>
      <w:numPr>
        <w:ilvl w:val="1"/>
        <w:numId w:val="1"/>
      </w:numPr>
      <w:autoSpaceDE w:val="false"/>
      <w:ind w:hanging="20" w:start="0" w:end="0"/>
      <w:outlineLvl w:val="1"/>
    </w:pPr>
    <w:rPr>
      <w:b/>
      <w:bCs/>
      <w:szCs w:val="20"/>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St2z0">
    <w:name w:val="WW8NumSt2z0"/>
    <w:qFormat/>
    <w:rPr>
      <w:rFonts w:ascii="Symbol" w:hAnsi="Symbol" w:cs="Symbol"/>
    </w:rPr>
  </w:style>
  <w:style w:type="character" w:styleId="WW8NumSt2z1">
    <w:name w:val="WW8NumSt2z1"/>
    <w:qFormat/>
    <w:rPr>
      <w:rFonts w:ascii="Courier New" w:hAnsi="Courier New" w:cs="Courier New"/>
    </w:rPr>
  </w:style>
  <w:style w:type="character" w:styleId="WW8NumSt2z2">
    <w:name w:val="WW8NumSt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2001-07-31T11:25:00Z</dcterms:created>
  <dc:creator>Tommy J Yanowski</dc:creator>
  <dc:description/>
  <dc:language>en-CA</dc:language>
  <cp:lastModifiedBy>Tommy J Yanowski</cp:lastModifiedBy>
  <cp:lastPrinted>2001-07-31T08:56:00Z</cp:lastPrinted>
  <dcterms:modified xsi:type="dcterms:W3CDTF">2001-07-31T11:33:00Z</dcterms:modified>
  <cp:revision>4</cp:revision>
  <dc:subject/>
  <dc:title>Due Diligence Summary</dc:title>
</cp:coreProperties>
</file>