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Electric Generation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b/>
        </w:rPr>
      </w:pPr>
      <w:r>
        <w:rPr>
          <w:b/>
        </w:rPr>
        <w:t>Auction Home Page</w:t>
      </w:r>
    </w:p>
    <w:p>
      <w:pPr>
        <w:pStyle w:val="Normal"/>
        <w:rPr/>
      </w:pPr>
      <w:r>
        <w:rPr/>
      </w:r>
    </w:p>
    <w:p>
      <w:pPr>
        <w:pStyle w:val="Normal"/>
        <w:rPr/>
      </w:pPr>
      <w:r>
        <w:rPr>
          <w:u w:val="single"/>
        </w:rPr>
        <w:t xml:space="preserve">Electric Generation Capacity </w:t>
      </w:r>
      <w:r>
        <w:rPr/>
        <w:t>– Next Auction 9:00 AM (CST) July __, 2000</w:t>
      </w:r>
    </w:p>
    <w:p>
      <w:pPr>
        <w:pStyle w:val="Normal"/>
        <w:rPr/>
      </w:pPr>
      <w:r>
        <w:rPr/>
      </w:r>
    </w:p>
    <w:p>
      <w:pPr>
        <w:pStyle w:val="Heading2"/>
        <w:ind w:hanging="0" w:start="0"/>
        <w:rPr/>
      </w:pPr>
      <w:r>
        <w:rPr/>
        <w:t>Electric Generation Capacity Auction Home Page</w:t>
      </w:r>
    </w:p>
    <w:p>
      <w:pPr>
        <w:pStyle w:val="Normal"/>
        <w:rPr/>
      </w:pPr>
      <w:r>
        <w:rPr/>
      </w:r>
    </w:p>
    <w:p>
      <w:pPr>
        <w:pStyle w:val="Normal"/>
        <w:jc w:val="both"/>
        <w:rPr/>
      </w:pPr>
      <w:r>
        <w:rPr/>
        <w:t>Next Auction 9:00 AM (CST) July __, 2000</w:t>
      </w:r>
    </w:p>
    <w:p>
      <w:pPr>
        <w:pStyle w:val="Normal"/>
        <w:jc w:val="both"/>
        <w:rPr/>
      </w:pPr>
      <w:r>
        <w:rPr/>
      </w:r>
    </w:p>
    <w:p>
      <w:pPr>
        <w:pStyle w:val="Normal"/>
        <w:jc w:val="both"/>
        <w:rPr/>
      </w:pPr>
      <w:r>
        <w:rPr/>
        <w:t>Reservation Prices for the Products</w:t>
      </w:r>
    </w:p>
    <w:p>
      <w:pPr>
        <w:pStyle w:val="Heading3"/>
        <w:jc w:val="both"/>
        <w:rPr/>
      </w:pPr>
      <w:r>
        <w:rPr/>
        <w:t>Product One</w:t>
      </w:r>
    </w:p>
    <w:p>
      <w:pPr>
        <w:pStyle w:val="Normal"/>
        <w:numPr>
          <w:ilvl w:val="0"/>
          <w:numId w:val="10"/>
        </w:numPr>
        <w:jc w:val="both"/>
        <w:rPr/>
      </w:pPr>
      <w:r>
        <w:rPr/>
        <w:t>July __, 2000 through September 30, 2000 Capacity</w:t>
      </w:r>
    </w:p>
    <w:p>
      <w:pPr>
        <w:pStyle w:val="Normal"/>
        <w:numPr>
          <w:ilvl w:val="0"/>
          <w:numId w:val="10"/>
        </w:numPr>
        <w:jc w:val="both"/>
        <w:rPr/>
      </w:pPr>
      <w:r>
        <w:rPr/>
        <w:t>$X,XXX,XXX Reservation Price</w:t>
      </w:r>
    </w:p>
    <w:p>
      <w:pPr>
        <w:pStyle w:val="Normal"/>
        <w:ind w:start="720" w:end="0"/>
        <w:jc w:val="both"/>
        <w:rPr/>
      </w:pPr>
      <w:r>
        <w:rPr/>
      </w:r>
    </w:p>
    <w:p>
      <w:pPr>
        <w:pStyle w:val="Heading3"/>
        <w:jc w:val="both"/>
        <w:rPr/>
      </w:pPr>
      <w:r>
        <w:rPr/>
        <w:t>Product Two</w:t>
      </w:r>
    </w:p>
    <w:p>
      <w:pPr>
        <w:pStyle w:val="Normal"/>
        <w:numPr>
          <w:ilvl w:val="0"/>
          <w:numId w:val="10"/>
        </w:numPr>
        <w:jc w:val="both"/>
        <w:rPr/>
      </w:pPr>
      <w:r>
        <w:rPr/>
        <w:t>July __, 2000 through September 30, 2000; and</w:t>
      </w:r>
    </w:p>
    <w:p>
      <w:pPr>
        <w:pStyle w:val="Normal"/>
        <w:ind w:start="1080" w:end="0"/>
        <w:jc w:val="both"/>
        <w:rPr/>
      </w:pPr>
      <w:r>
        <w:rPr/>
        <w:t>June 1, 2001 through September 30, 2001; and</w:t>
      </w:r>
    </w:p>
    <w:p>
      <w:pPr>
        <w:pStyle w:val="Normal"/>
        <w:ind w:start="1080" w:end="0"/>
        <w:jc w:val="both"/>
        <w:rPr/>
      </w:pPr>
      <w:r>
        <w:rPr/>
        <w:t>June 1, 2002 through September 30, 2002 Capacity</w:t>
      </w:r>
    </w:p>
    <w:p>
      <w:pPr>
        <w:pStyle w:val="Normal"/>
        <w:numPr>
          <w:ilvl w:val="0"/>
          <w:numId w:val="10"/>
        </w:numPr>
        <w:jc w:val="both"/>
        <w:rPr/>
      </w:pPr>
      <w:r>
        <w:rPr/>
        <w:t>$X,XXX,XXX Reservation Price</w:t>
      </w:r>
    </w:p>
    <w:p>
      <w:pPr>
        <w:pStyle w:val="Normal"/>
        <w:ind w:start="720" w:end="0"/>
        <w:jc w:val="both"/>
        <w:rPr/>
      </w:pPr>
      <w:r>
        <w:rPr/>
        <w:t>(Click on product name for detailed description.)</w:t>
      </w:r>
    </w:p>
    <w:p>
      <w:pPr>
        <w:pStyle w:val="Normal"/>
        <w:jc w:val="both"/>
        <w:rPr/>
      </w:pPr>
      <w:r>
        <w:rPr/>
      </w:r>
    </w:p>
    <w:p>
      <w:pPr>
        <w:pStyle w:val="Normal"/>
        <w:jc w:val="both"/>
        <w:rPr/>
      </w:pPr>
      <w:r>
        <w:rPr/>
        <w:t>Welcome to the EnronOnline Electric Generation Capacity Auction Home Page.  This auction will allow you to enter a bid to purchase electric generation capacity from Enron Power Marketing, Inc. (EPMI).  We invite you to consider some of the many advantages of EnronOnline Electric Generation Capacity Auction.</w:t>
      </w:r>
    </w:p>
    <w:p>
      <w:pPr>
        <w:pStyle w:val="Normal"/>
        <w:jc w:val="both"/>
        <w:rPr/>
      </w:pPr>
      <w:r>
        <w:rPr/>
      </w:r>
    </w:p>
    <w:p>
      <w:pPr>
        <w:pStyle w:val="Normal"/>
        <w:numPr>
          <w:ilvl w:val="0"/>
          <w:numId w:val="8"/>
        </w:numPr>
        <w:jc w:val="both"/>
        <w:rPr/>
      </w:pPr>
      <w:r>
        <w:rPr/>
        <w:t>Speed – Successful bidders are notified within one hour of the bid’s receipt</w:t>
      </w:r>
    </w:p>
    <w:p>
      <w:pPr>
        <w:pStyle w:val="Normal"/>
        <w:numPr>
          <w:ilvl w:val="0"/>
          <w:numId w:val="8"/>
        </w:numPr>
        <w:jc w:val="both"/>
        <w:rPr/>
      </w:pPr>
      <w:r>
        <w:rPr/>
        <w:t xml:space="preserve">Simplicity – Internet based bid submission </w:t>
      </w:r>
    </w:p>
    <w:p>
      <w:pPr>
        <w:pStyle w:val="Normal"/>
        <w:numPr>
          <w:ilvl w:val="0"/>
          <w:numId w:val="8"/>
        </w:numPr>
        <w:jc w:val="both"/>
        <w:rPr/>
      </w:pPr>
      <w:r>
        <w:rPr/>
        <w:t>Transaction Costs – No signup or transaction fees to participate in the Auction</w:t>
      </w:r>
    </w:p>
    <w:p>
      <w:pPr>
        <w:pStyle w:val="Normal"/>
        <w:numPr>
          <w:ilvl w:val="0"/>
          <w:numId w:val="8"/>
        </w:numPr>
        <w:jc w:val="both"/>
        <w:rPr/>
      </w:pPr>
      <w:r>
        <w:rPr/>
        <w:t>-</w:t>
        <w:tab/>
        <w:t>Confidentiality – The identity of bidders is kept confidentialStreamlined Credit – No advance posting of collateral with approved credit</w:t>
      </w:r>
    </w:p>
    <w:p>
      <w:pPr>
        <w:pStyle w:val="Normal"/>
        <w:jc w:val="both"/>
        <w:rPr/>
      </w:pPr>
      <w:r>
        <w:rPr/>
      </w:r>
    </w:p>
    <w:p>
      <w:pPr>
        <w:pStyle w:val="Normal"/>
        <w:jc w:val="both"/>
        <w:rPr/>
      </w:pPr>
      <w:r>
        <w:rPr/>
        <w:t>Links</w:t>
      </w:r>
    </w:p>
    <w:p>
      <w:pPr>
        <w:pStyle w:val="Normal"/>
        <w:numPr>
          <w:ilvl w:val="0"/>
          <w:numId w:val="8"/>
        </w:numPr>
        <w:jc w:val="both"/>
        <w:rPr/>
      </w:pPr>
      <w:r>
        <w:rPr/>
        <w:t>About Electric Generation Capacity</w:t>
      </w:r>
    </w:p>
    <w:p>
      <w:pPr>
        <w:pStyle w:val="Normal"/>
        <w:numPr>
          <w:ilvl w:val="0"/>
          <w:numId w:val="8"/>
        </w:numPr>
        <w:jc w:val="both"/>
        <w:rPr/>
      </w:pPr>
      <w:r>
        <w:rPr/>
        <w:t>How to Submit a Bid</w:t>
      </w:r>
    </w:p>
    <w:p>
      <w:pPr>
        <w:pStyle w:val="Normal"/>
        <w:numPr>
          <w:ilvl w:val="0"/>
          <w:numId w:val="8"/>
        </w:numPr>
        <w:jc w:val="both"/>
        <w:rPr/>
      </w:pPr>
      <w:r>
        <w:rPr/>
        <w:t>Contract</w:t>
      </w:r>
    </w:p>
    <w:p>
      <w:pPr>
        <w:pStyle w:val="Normal"/>
        <w:numPr>
          <w:ilvl w:val="0"/>
          <w:numId w:val="8"/>
        </w:numPr>
        <w:jc w:val="both"/>
        <w:rPr/>
      </w:pPr>
      <w:r>
        <w:rPr/>
        <w:t>Help Desk</w:t>
      </w:r>
    </w:p>
    <w:p>
      <w:pPr>
        <w:pStyle w:val="Normal"/>
        <w:numPr>
          <w:ilvl w:val="0"/>
          <w:numId w:val="8"/>
        </w:numPr>
        <w:jc w:val="both"/>
        <w:rPr/>
      </w:pPr>
      <w:r>
        <w:rPr/>
        <w:t>Auctions Home Page</w:t>
      </w:r>
    </w:p>
    <w:p>
      <w:pPr>
        <w:pStyle w:val="Normal"/>
        <w:jc w:val="both"/>
        <w:rPr/>
      </w:pPr>
      <w:r>
        <w:rPr/>
      </w:r>
    </w:p>
    <w:p>
      <w:pPr>
        <w:pStyle w:val="Heading2"/>
        <w:ind w:hanging="0" w:start="0"/>
        <w:rPr/>
      </w:pPr>
      <w:r>
        <w:rPr/>
        <w:t>About Electric Generation Capacity</w:t>
      </w:r>
    </w:p>
    <w:p>
      <w:pPr>
        <w:pStyle w:val="Normal"/>
        <w:rPr/>
      </w:pPr>
      <w:r>
        <w:rPr/>
      </w:r>
    </w:p>
    <w:p>
      <w:pPr>
        <w:pStyle w:val="Heading1"/>
        <w:ind w:hanging="0" w:start="0"/>
        <w:rPr/>
      </w:pPr>
      <w:r>
        <w:rPr/>
        <w:t>Introduction</w:t>
      </w:r>
    </w:p>
    <w:p>
      <w:pPr>
        <w:pStyle w:val="Normal"/>
        <w:rPr/>
      </w:pPr>
      <w:r>
        <w:rPr/>
      </w:r>
    </w:p>
    <w:p>
      <w:pPr>
        <w:pStyle w:val="Normal"/>
        <w:jc w:val="both"/>
        <w:rPr/>
      </w:pPr>
      <w:r>
        <w:rPr/>
        <w:t xml:space="preserve">EnronOnline Electric Generation Capacity Auction is a new alternative to traditional means of securing electric generation capacity.  It has been developed to offer quick and easy transactions to buyers of electric generation capacity.  Instead of spending valuable time and resources negotiating long-term structured deals, companies interested in purchasing electric generation capacity can do so confidentially using a simple internet interface.  </w:t>
      </w:r>
    </w:p>
    <w:p>
      <w:pPr>
        <w:pStyle w:val="Normal"/>
        <w:jc w:val="both"/>
        <w:rPr/>
      </w:pPr>
      <w:r>
        <w:rPr/>
      </w:r>
    </w:p>
    <w:p>
      <w:pPr>
        <w:pStyle w:val="Normal"/>
        <w:jc w:val="both"/>
        <w:rPr/>
      </w:pPr>
      <w:r>
        <w:rPr/>
        <w:t>Participants will have the opportunity to submit a bid for capacity at the Reservation Price which is published on the website.  The Reservation Price may be updated from time to time throughout the auction.</w:t>
      </w:r>
    </w:p>
    <w:p>
      <w:pPr>
        <w:pStyle w:val="Normal"/>
        <w:jc w:val="both"/>
        <w:rPr/>
      </w:pPr>
      <w:r>
        <w:rPr/>
      </w:r>
    </w:p>
    <w:p>
      <w:pPr>
        <w:pStyle w:val="Normal"/>
        <w:jc w:val="both"/>
        <w:rPr/>
      </w:pPr>
      <w:r>
        <w:rPr/>
        <w:t>As soon as the Reservation Price is stated, the auction will be in operation.  You will be able to act at any moment during trading hours.  If the posted Reservation Price fits your needs, just submit it as your bid.  Within one hour, you should know the outcome of your bid.  Simple, fast, accurate.</w:t>
      </w:r>
    </w:p>
    <w:p>
      <w:pPr>
        <w:pStyle w:val="Normal"/>
        <w:jc w:val="both"/>
        <w:rPr/>
      </w:pPr>
      <w:r>
        <w:rPr/>
      </w:r>
    </w:p>
    <w:p>
      <w:pPr>
        <w:pStyle w:val="Normal"/>
        <w:jc w:val="both"/>
        <w:rPr/>
      </w:pPr>
      <w:r>
        <w:rPr/>
        <w:t>The Buyer will pay a fixed price for a reservation of electric generation.  Thereafter, on Buyer’s exercise of its daily call option, the Buyer will pay an index price correlated to natural gas for the energy delivered to Buyer by Enron Power Marketing, Inc. (EPMI).  The energy is financially firm, supported by liquidated damages.  The energy deliverable will thus have a firmness surpassing energy generally associated with purchased capacity.</w:t>
      </w:r>
    </w:p>
    <w:p>
      <w:pPr>
        <w:pStyle w:val="Normal"/>
        <w:jc w:val="both"/>
        <w:rPr/>
      </w:pPr>
      <w:r>
        <w:rPr/>
      </w:r>
    </w:p>
    <w:p>
      <w:pPr>
        <w:pStyle w:val="Normal"/>
        <w:jc w:val="both"/>
        <w:rPr/>
      </w:pPr>
      <w:r>
        <w:rPr/>
      </w:r>
    </w:p>
    <w:p>
      <w:pPr>
        <w:pStyle w:val="Heading1"/>
        <w:ind w:hanging="0" w:start="0"/>
        <w:jc w:val="both"/>
        <w:rPr/>
      </w:pPr>
      <w:r>
        <w:rPr/>
        <w:t xml:space="preserve">Benefits of EnronOnline Electric Generation Capacity Auction </w:t>
      </w:r>
    </w:p>
    <w:p>
      <w:pPr>
        <w:pStyle w:val="Heading1"/>
        <w:ind w:hanging="0" w:start="0"/>
        <w:jc w:val="both"/>
        <w:rPr/>
      </w:pPr>
      <w:r>
        <w:rPr/>
      </w:r>
    </w:p>
    <w:p>
      <w:pPr>
        <w:pStyle w:val="Heading1"/>
        <w:ind w:hanging="0" w:start="0"/>
        <w:jc w:val="both"/>
        <w:rPr>
          <w:b w:val="false"/>
          <w:i/>
          <w:i/>
        </w:rPr>
      </w:pPr>
      <w:r>
        <w:rPr>
          <w:b w:val="false"/>
          <w:i/>
        </w:rPr>
        <w:t>Speed</w:t>
      </w:r>
    </w:p>
    <w:p>
      <w:pPr>
        <w:pStyle w:val="Normal"/>
        <w:jc w:val="both"/>
        <w:rPr>
          <w:b/>
          <w:i/>
          <w:i/>
        </w:rPr>
      </w:pPr>
      <w:r>
        <w:rPr>
          <w:b/>
          <w:i/>
        </w:rPr>
      </w:r>
    </w:p>
    <w:p>
      <w:pPr>
        <w:pStyle w:val="Normal"/>
        <w:jc w:val="both"/>
        <w:rPr/>
      </w:pPr>
      <w:r>
        <w:rPr/>
        <w:t xml:space="preserve">Because bids for capacity can be completed online, transactions can be completed quickly, in sharp contrast to traditional methods of securing capacity which can require lengthy negotiations and contract discussions. </w:t>
      </w:r>
    </w:p>
    <w:p>
      <w:pPr>
        <w:pStyle w:val="Normal"/>
        <w:jc w:val="both"/>
        <w:rPr/>
      </w:pPr>
      <w:r>
        <w:rPr/>
      </w:r>
    </w:p>
    <w:p>
      <w:pPr>
        <w:pStyle w:val="Heading1"/>
        <w:ind w:hanging="0" w:start="0"/>
        <w:jc w:val="both"/>
        <w:rPr>
          <w:b w:val="false"/>
          <w:i/>
          <w:i/>
        </w:rPr>
      </w:pPr>
      <w:r>
        <w:rPr>
          <w:b w:val="false"/>
          <w:i/>
        </w:rPr>
        <w:t>Simplicity</w:t>
      </w:r>
    </w:p>
    <w:p>
      <w:pPr>
        <w:pStyle w:val="Normal"/>
        <w:jc w:val="both"/>
        <w:rPr>
          <w:b/>
          <w:i/>
          <w:i/>
        </w:rPr>
      </w:pPr>
      <w:r>
        <w:rPr>
          <w:b/>
          <w:i/>
        </w:rPr>
      </w:r>
    </w:p>
    <w:p>
      <w:pPr>
        <w:pStyle w:val="BodyText2"/>
        <w:rPr/>
      </w:pPr>
      <w:r>
        <w:rPr/>
        <w:t xml:space="preserve">Using the EnronOnline Electric Generation Capacity Auction is quick and easy.  A bid to purchase capacity can be submitted in seconds.  </w:t>
      </w:r>
    </w:p>
    <w:p>
      <w:pPr>
        <w:pStyle w:val="Normal"/>
        <w:jc w:val="both"/>
        <w:rPr/>
      </w:pPr>
      <w:r>
        <w:rPr/>
      </w:r>
    </w:p>
    <w:p>
      <w:pPr>
        <w:pStyle w:val="Heading1"/>
        <w:ind w:hanging="0" w:start="0"/>
        <w:jc w:val="both"/>
        <w:rPr>
          <w:b w:val="false"/>
          <w:i/>
          <w:i/>
        </w:rPr>
      </w:pPr>
      <w:r>
        <w:rPr>
          <w:b w:val="false"/>
          <w:i/>
        </w:rPr>
        <w:t>Transaction Costs</w:t>
      </w:r>
    </w:p>
    <w:p>
      <w:pPr>
        <w:pStyle w:val="Normal"/>
        <w:jc w:val="both"/>
        <w:rPr>
          <w:b/>
          <w:i/>
          <w:i/>
        </w:rPr>
      </w:pPr>
      <w:r>
        <w:rPr>
          <w:b/>
          <w:i/>
        </w:rPr>
      </w:r>
    </w:p>
    <w:p>
      <w:pPr>
        <w:pStyle w:val="Normal"/>
        <w:jc w:val="both"/>
        <w:rPr/>
      </w:pPr>
      <w:r>
        <w:rPr/>
        <w:t>There are no signup fees and no transaction fees to participate in the EnronOnline Electric Generation Capacity Auction.</w:t>
      </w:r>
    </w:p>
    <w:p>
      <w:pPr>
        <w:pStyle w:val="Normal"/>
        <w:jc w:val="both"/>
        <w:rPr/>
      </w:pPr>
      <w:r>
        <w:rPr/>
      </w:r>
    </w:p>
    <w:p>
      <w:pPr>
        <w:pStyle w:val="Heading1"/>
        <w:ind w:hanging="0" w:start="0"/>
        <w:jc w:val="both"/>
        <w:rPr>
          <w:b w:val="false"/>
          <w:i/>
          <w:i/>
        </w:rPr>
      </w:pPr>
      <w:r>
        <w:rPr>
          <w:b w:val="false"/>
          <w:i/>
        </w:rPr>
        <w:t>Confidentiality</w:t>
      </w:r>
    </w:p>
    <w:p>
      <w:pPr>
        <w:pStyle w:val="Normal"/>
        <w:jc w:val="both"/>
        <w:rPr>
          <w:b/>
          <w:i/>
          <w:i/>
        </w:rPr>
      </w:pPr>
      <w:r>
        <w:rPr>
          <w:b/>
          <w:i/>
        </w:rPr>
      </w:r>
    </w:p>
    <w:p>
      <w:pPr>
        <w:pStyle w:val="Normal"/>
        <w:jc w:val="both"/>
        <w:rPr/>
      </w:pPr>
      <w:r>
        <w:rPr/>
        <w:t>With EnronOnline Electric Generation Capacity Auction, your identity as a bidder is kept confidential.  This allows you to consider and complete market transactions without releasing sensitive information to the marketplace.</w:t>
      </w:r>
    </w:p>
    <w:p>
      <w:pPr>
        <w:pStyle w:val="Normal"/>
        <w:jc w:val="both"/>
        <w:rPr/>
      </w:pPr>
      <w:r>
        <w:rPr/>
      </w:r>
    </w:p>
    <w:p>
      <w:pPr>
        <w:pStyle w:val="Heading1"/>
        <w:ind w:hanging="0" w:start="0"/>
        <w:jc w:val="both"/>
        <w:rPr/>
      </w:pPr>
      <w:r>
        <w:rPr>
          <w:b w:val="false"/>
          <w:i/>
        </w:rPr>
        <w:t>Streamlined Credit</w:t>
      </w:r>
      <w:r>
        <w:rPr/>
        <w:t xml:space="preserve"> </w:t>
      </w:r>
    </w:p>
    <w:p>
      <w:pPr>
        <w:pStyle w:val="Normal"/>
        <w:jc w:val="both"/>
        <w:rPr/>
      </w:pPr>
      <w:r>
        <w:rPr/>
      </w:r>
    </w:p>
    <w:p>
      <w:pPr>
        <w:pStyle w:val="Normal"/>
        <w:jc w:val="both"/>
        <w:rPr/>
      </w:pPr>
      <w:r>
        <w:rPr/>
        <w:t>No advance posting of collateral is required from bidders with approved credit.</w:t>
      </w:r>
    </w:p>
    <w:p>
      <w:pPr>
        <w:pStyle w:val="Normal"/>
        <w:jc w:val="both"/>
        <w:rPr/>
      </w:pPr>
      <w:r>
        <w:rPr/>
      </w:r>
    </w:p>
    <w:p>
      <w:pPr>
        <w:pStyle w:val="Normal"/>
        <w:jc w:val="both"/>
        <w:rPr/>
      </w:pPr>
      <w:r>
        <w:rPr/>
      </w:r>
    </w:p>
    <w:p>
      <w:pPr>
        <w:pStyle w:val="Normal"/>
        <w:jc w:val="both"/>
        <w:rPr/>
      </w:pPr>
      <w:r>
        <w:rPr/>
        <w:t xml:space="preserve">If you are an existing EnronOnline user, no registration is required. You can prepare to submit your bid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Normal"/>
        <w:jc w:val="both"/>
        <w:rPr/>
      </w:pPr>
      <w:r>
        <w:rPr/>
      </w:r>
    </w:p>
    <w:p>
      <w:pPr>
        <w:pStyle w:val="Normal"/>
        <w:jc w:val="both"/>
        <w:rPr/>
      </w:pPr>
      <w:r>
        <w:rPr/>
      </w:r>
    </w:p>
    <w:p>
      <w:pPr>
        <w:pStyle w:val="Heading1"/>
        <w:ind w:hanging="0" w:start="0"/>
        <w:jc w:val="both"/>
        <w:rPr>
          <w:u w:val="single"/>
        </w:rPr>
      </w:pPr>
      <w:r>
        <w:rPr>
          <w:u w:val="single"/>
        </w:rPr>
        <w:t>CAPACITY PRODUCT TERMS</w:t>
      </w:r>
    </w:p>
    <w:p>
      <w:pPr>
        <w:pStyle w:val="Normal"/>
        <w:jc w:val="both"/>
        <w:rPr>
          <w:u w:val="single"/>
        </w:rPr>
      </w:pPr>
      <w:r>
        <w:rPr>
          <w:u w:val="single"/>
        </w:rPr>
      </w:r>
    </w:p>
    <w:p>
      <w:pPr>
        <w:pStyle w:val="Normal"/>
        <w:jc w:val="both"/>
        <w:rPr/>
      </w:pPr>
      <w:r>
        <w:rPr/>
        <w:t>At this time EnronOnline Electric Generation Capacity Auction covers the following products:</w:t>
      </w:r>
    </w:p>
    <w:p>
      <w:pPr>
        <w:pStyle w:val="Normal"/>
        <w:jc w:val="both"/>
        <w:rPr/>
      </w:pPr>
      <w:r>
        <w:rPr/>
      </w:r>
    </w:p>
    <w:p>
      <w:pPr>
        <w:pStyle w:val="Heading4"/>
        <w:ind w:hanging="0" w:start="0"/>
        <w:jc w:val="both"/>
        <w:rPr>
          <w:b/>
          <w:bCs/>
        </w:rPr>
      </w:pPr>
      <w:r>
        <w:rPr>
          <w:b/>
          <w:bCs/>
        </w:rPr>
        <w:t>PRODUCT ONE</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or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 __, 2000 through September 30, 2000</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Heading8"/>
        <w:widowControl/>
        <w:tabs>
          <w:tab w:val="left" w:pos="720" w:leader="none"/>
        </w:tabs>
        <w:ind w:hanging="288" w:start="720" w:end="0"/>
        <w:rPr>
          <w:b w:val="false"/>
          <w:sz w:val="20"/>
          <w:u w:val="none"/>
        </w:rPr>
      </w:pPr>
      <w:r>
        <w:rPr>
          <w:b w:val="false"/>
          <w:sz w:val="20"/>
          <w:u w:val="none"/>
        </w:rPr>
        <w:t>b.</w:t>
        <w:tab/>
        <w:t>Capacity Source:  Wheatland IN plant</w:t>
      </w:r>
    </w:p>
    <w:p>
      <w:pPr>
        <w:pStyle w:val="Heading8"/>
        <w:widowControl/>
        <w:tabs>
          <w:tab w:val="left" w:pos="720" w:leader="none"/>
        </w:tabs>
        <w:ind w:hanging="288" w:start="720" w:end="0"/>
        <w:rPr>
          <w:b w:val="false"/>
          <w:sz w:val="20"/>
          <w:u w:val="none"/>
        </w:rPr>
      </w:pPr>
      <w:r>
        <w:rPr>
          <w:b w:val="false"/>
          <w:sz w:val="20"/>
          <w:u w:val="none"/>
        </w:rPr>
        <w:t>c.</w:t>
        <w:tab/>
        <w:t>Exercise Quantity per Call:  100 MW (All or nothing)</w:t>
      </w:r>
    </w:p>
    <w:p>
      <w:pPr>
        <w:pStyle w:val="Heading8"/>
        <w:widowControl/>
        <w:tabs>
          <w:tab w:val="left" w:pos="720" w:leader="none"/>
        </w:tabs>
        <w:ind w:hanging="288" w:start="720" w:end="0"/>
        <w:rPr>
          <w:b w:val="false"/>
          <w:sz w:val="20"/>
          <w:u w:val="none"/>
        </w:rPr>
      </w:pPr>
      <w:r>
        <w:rPr>
          <w:b w:val="false"/>
          <w:sz w:val="20"/>
          <w:u w:val="none"/>
        </w:rPr>
        <w:t>d.</w:t>
        <w:tab/>
        <w:t>Heat Rate: 12,000 Btu/kwh</w:t>
      </w:r>
    </w:p>
    <w:p>
      <w:pPr>
        <w:pStyle w:val="BodyTextIndent"/>
        <w:numPr>
          <w:ilvl w:val="0"/>
          <w:numId w:val="6"/>
        </w:numPr>
        <w:tabs>
          <w:tab w:val="left" w:pos="720" w:leader="none"/>
        </w:tabs>
        <w:jc w:val="both"/>
        <w:rPr/>
      </w:pPr>
      <w:r>
        <w:rPr/>
        <w:t xml:space="preserve">Index Price: the Tennessee 500 Leg mid-point index price per MMBtu as published in Gas Daily on the Delivery Day </w:t>
      </w:r>
    </w:p>
    <w:p>
      <w:pPr>
        <w:pStyle w:val="BodyTextIndent"/>
        <w:numPr>
          <w:ilvl w:val="0"/>
          <w:numId w:val="6"/>
        </w:numPr>
        <w:tabs>
          <w:tab w:val="left" w:pos="720" w:leader="none"/>
        </w:tabs>
        <w:jc w:val="both"/>
        <w:rPr/>
      </w:pPr>
      <w:r>
        <w:rPr/>
        <w:t>Delivery Day:  any Monday through Friday, excluding NERC holidays.</w:t>
      </w:r>
    </w:p>
    <w:p>
      <w:pPr>
        <w:pStyle w:val="BodyTextIndent"/>
        <w:numPr>
          <w:ilvl w:val="0"/>
          <w:numId w:val="6"/>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6"/>
        </w:numPr>
        <w:tabs>
          <w:tab w:val="left" w:pos="720" w:leader="none"/>
        </w:tabs>
        <w:jc w:val="both"/>
        <w:rPr/>
      </w:pPr>
      <w:r>
        <w:rPr/>
        <w:t xml:space="preserve">Maximum Calls on Energy per Term: 50 </w:t>
      </w:r>
    </w:p>
    <w:p>
      <w:pPr>
        <w:pStyle w:val="BodyTextIndent"/>
        <w:numPr>
          <w:ilvl w:val="0"/>
          <w:numId w:val="6"/>
        </w:numPr>
        <w:tabs>
          <w:tab w:val="left" w:pos="720" w:leader="none"/>
        </w:tabs>
        <w:jc w:val="both"/>
        <w:rPr/>
      </w:pPr>
      <w:r>
        <w:rPr/>
        <w:t xml:space="preserve">Scheduling of Energy after Exercise of Call: Day ahead by 1100 a.m. CPT </w:t>
      </w:r>
    </w:p>
    <w:p>
      <w:pPr>
        <w:pStyle w:val="BodyTextIndent"/>
        <w:numPr>
          <w:ilvl w:val="0"/>
          <w:numId w:val="6"/>
        </w:numPr>
        <w:tabs>
          <w:tab w:val="left" w:pos="720" w:leader="none"/>
        </w:tabs>
        <w:jc w:val="both"/>
        <w:rPr/>
      </w:pPr>
      <w:r>
        <w:rPr/>
        <w:t>O &amp; M factor: $2.50/MWh</w:t>
      </w:r>
    </w:p>
    <w:p>
      <w:pPr>
        <w:pStyle w:val="BodyTextIndent"/>
        <w:numPr>
          <w:ilvl w:val="0"/>
          <w:numId w:val="6"/>
        </w:numPr>
        <w:tabs>
          <w:tab w:val="left" w:pos="720" w:leader="none"/>
        </w:tabs>
        <w:jc w:val="both"/>
        <w:rPr/>
      </w:pPr>
      <w:r>
        <w:rPr/>
        <w:t>Standard Block: 16 hours (HE 0700 through HE 2200 CPT) Monday through Friday only, excluding NERC holidays</w:t>
      </w:r>
    </w:p>
    <w:p>
      <w:pPr>
        <w:pStyle w:val="BodyTextIndent"/>
        <w:numPr>
          <w:ilvl w:val="0"/>
          <w:numId w:val="6"/>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keepNext w:val="true"/>
        <w:jc w:val="both"/>
        <w:rPr>
          <w:b/>
        </w:rPr>
      </w:pPr>
      <w:r>
        <w:rPr>
          <w:b/>
        </w:rPr>
        <w:t>Delivery Point:</w:t>
      </w:r>
    </w:p>
    <w:p>
      <w:pPr>
        <w:pStyle w:val="Normal"/>
        <w:keepNext w:val="true"/>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for Capacity equal to the Reservation Price, payable within three Business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Energy charges shall be paid pursuant to monthly invoiced settlement.  For each MWh of Energy in the Standard Block  for which Buyer properly exercises its call, Buyer shall pay EPMI the Energy Price calculated by the following equation:</w:t>
      </w:r>
    </w:p>
    <w:p>
      <w:pPr>
        <w:pStyle w:val="BodyText3"/>
        <w:rPr>
          <w:sz w:val="20"/>
        </w:rPr>
      </w:pPr>
      <w:r>
        <w:rPr>
          <w:sz w:val="20"/>
        </w:rPr>
      </w:r>
    </w:p>
    <w:p>
      <w:pPr>
        <w:pStyle w:val="Normal"/>
        <w:jc w:val="both"/>
        <w:rPr/>
      </w:pPr>
      <w:r>
        <w:rPr/>
        <w:t>Energy Price ($/MWh) = (Heat Rate/1000) X (Index Price + $0.23 + (Index Price X 0.0278)) + $2.50</w:t>
      </w:r>
    </w:p>
    <w:p>
      <w:pPr>
        <w:pStyle w:val="BodyText3"/>
        <w:rPr>
          <w:sz w:val="20"/>
        </w:rPr>
      </w:pPr>
      <w:r>
        <w:rPr>
          <w:sz w:val="20"/>
        </w:rPr>
      </w:r>
    </w:p>
    <w:p>
      <w:pPr>
        <w:pStyle w:val="Normal"/>
        <w:jc w:val="both"/>
        <w:rPr/>
      </w:pPr>
      <w:r>
        <w:rPr/>
        <w:t xml:space="preserve"> </w:t>
      </w:r>
    </w:p>
    <w:p>
      <w:pPr>
        <w:pStyle w:val="Heading4"/>
        <w:ind w:hanging="0" w:start="0"/>
        <w:jc w:val="both"/>
        <w:rPr>
          <w:b/>
          <w:bCs/>
        </w:rPr>
      </w:pPr>
      <w:r>
        <w:rPr>
          <w:b/>
          <w:bCs/>
        </w:rPr>
        <w:t>PRODUCT TWO</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of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July__, 2000 through September 30, 2000; and</w:t>
      </w:r>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Exercise quantity per Call: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pPr>
      <w:r>
        <w:rPr/>
        <w:t>Index Price: the Tennessee 500 Leg mid-point index price per MMBtu as published in Gas Daily on the Delivery Day</w:t>
      </w:r>
    </w:p>
    <w:p>
      <w:pPr>
        <w:pStyle w:val="BodyTextIndent"/>
        <w:numPr>
          <w:ilvl w:val="0"/>
          <w:numId w:val="4"/>
        </w:numPr>
        <w:tabs>
          <w:tab w:val="left" w:pos="720" w:leader="none"/>
        </w:tabs>
        <w:jc w:val="both"/>
        <w:rPr/>
      </w:pPr>
      <w:r>
        <w:rPr/>
        <w:t xml:space="preserve">Delivery Day:  any Monday through Friday, excluding NERC holidays. </w:t>
      </w:r>
    </w:p>
    <w:p>
      <w:pPr>
        <w:pStyle w:val="BodyTextIndent"/>
        <w:numPr>
          <w:ilvl w:val="0"/>
          <w:numId w:val="4"/>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4"/>
        </w:numPr>
        <w:tabs>
          <w:tab w:val="left" w:pos="720" w:leader="none"/>
        </w:tabs>
        <w:jc w:val="both"/>
        <w:rPr/>
      </w:pPr>
      <w:r>
        <w:rPr/>
        <w:t xml:space="preserve">Maximum Calls on Energy per summer period included in the Term: 50 </w:t>
      </w:r>
    </w:p>
    <w:p>
      <w:pPr>
        <w:pStyle w:val="BodyTextIndent"/>
        <w:numPr>
          <w:ilvl w:val="0"/>
          <w:numId w:val="4"/>
        </w:numPr>
        <w:tabs>
          <w:tab w:val="left" w:pos="720" w:leader="none"/>
        </w:tabs>
        <w:jc w:val="both"/>
        <w:rPr/>
      </w:pPr>
      <w:r>
        <w:rPr/>
        <w:t xml:space="preserve">Scheduling of Energy after Exercise of Call: Day ahead by 1100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equal to the Reservation Price for capacity, payable within three Business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Energy charges shall be paid pursuant to monthly invoiced settlement.  For each MWh of Energy in the Standard Block for which Buyer properly exercises its call, Buyer shall pay EPMI the Energy Price calculated by the following equation:</w:t>
      </w:r>
    </w:p>
    <w:p>
      <w:pPr>
        <w:pStyle w:val="BodyText3"/>
        <w:rPr>
          <w:sz w:val="20"/>
        </w:rPr>
      </w:pPr>
      <w:r>
        <w:rPr>
          <w:sz w:val="20"/>
        </w:rPr>
      </w:r>
    </w:p>
    <w:p>
      <w:pPr>
        <w:pStyle w:val="Normal"/>
        <w:jc w:val="both"/>
        <w:rPr/>
      </w:pPr>
      <w:r>
        <w:rPr/>
        <w:t>Energy Price ($/MWh) = (Heat Rate/1000) X (Index Price + $0.23 + (Index Price X 0.0278)) + $2.50</w:t>
      </w:r>
    </w:p>
    <w:p>
      <w:pPr>
        <w:pStyle w:val="Normal"/>
        <w:autoSpaceDE w:val="false"/>
        <w:spacing w:lineRule="atLeast" w:line="240"/>
        <w:rPr>
          <w:spacing w:val="-5"/>
        </w:rPr>
      </w:pPr>
      <w:r>
        <w:rPr>
          <w:spacing w:val="-5"/>
        </w:rPr>
      </w:r>
    </w:p>
    <w:p>
      <w:pPr>
        <w:pStyle w:val="Normal"/>
        <w:jc w:val="both"/>
        <w:rPr>
          <w:spacing w:val="-5"/>
        </w:rPr>
      </w:pPr>
      <w:r>
        <w:rPr>
          <w:spacing w:val="-5"/>
        </w:rPr>
      </w:r>
    </w:p>
    <w:p>
      <w:pPr>
        <w:pStyle w:val="Heading1"/>
        <w:ind w:hanging="0" w:start="0"/>
        <w:jc w:val="both"/>
        <w:rPr>
          <w:u w:val="single"/>
        </w:rPr>
      </w:pPr>
      <w:r>
        <w:rPr>
          <w:u w:val="single"/>
        </w:rPr>
        <w:t>Mechanics of the Auction</w:t>
      </w:r>
    </w:p>
    <w:p>
      <w:pPr>
        <w:pStyle w:val="Normal"/>
        <w:jc w:val="both"/>
        <w:rPr>
          <w:u w:val="single"/>
        </w:rPr>
      </w:pPr>
      <w:r>
        <w:rPr>
          <w:u w:val="single"/>
        </w:rPr>
      </w:r>
    </w:p>
    <w:p>
      <w:pPr>
        <w:pStyle w:val="Normal"/>
        <w:jc w:val="both"/>
        <w:rPr/>
      </w:pPr>
      <w:r>
        <w:rPr/>
        <w:t xml:space="preserve">Customers may input bids as soon as a Reservation Price is published on the EnronOnline Electric Generation Capacity Auction Home Page.  Bids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r>
        <w:rPr/>
        <w:t>During the auction EPMI at its sole discretion may accept or reject any submitted bid.   EPMI reserves the right to reject a bid for any reason.  If EPMI elects to accept a submitting Buyer’s bid, EPMI shall notify that Buyer within one (1) hour of EPMI’s receipt of such bid.  All bids not accepted by EPMI within one hour of EPMI’s receipt are deemed to be "Rejected".</w:t>
      </w:r>
    </w:p>
    <w:p>
      <w:pPr>
        <w:pStyle w:val="Normal"/>
        <w:jc w:val="both"/>
        <w:rPr/>
      </w:pPr>
      <w:r>
        <w:rPr/>
      </w:r>
    </w:p>
    <w:p>
      <w:pPr>
        <w:pStyle w:val="Normal"/>
        <w:jc w:val="both"/>
        <w:rPr/>
      </w:pPr>
      <w:r>
        <w:rPr/>
        <w:t>Notice to the submitting Buyer of a an accepted bid may be communicated by EPMI in the following ways:</w:t>
      </w:r>
    </w:p>
    <w:p>
      <w:pPr>
        <w:pStyle w:val="Normal"/>
        <w:jc w:val="both"/>
        <w:rPr/>
      </w:pPr>
      <w:r>
        <w:rPr/>
        <w:tab/>
      </w:r>
    </w:p>
    <w:p>
      <w:pPr>
        <w:pStyle w:val="Normal"/>
        <w:numPr>
          <w:ilvl w:val="0"/>
          <w:numId w:val="7"/>
        </w:numPr>
        <w:jc w:val="both"/>
        <w:rPr/>
      </w:pPr>
      <w:r>
        <w:rPr/>
        <w:t>The Status Code for the submission in the Bid Status on the website will be changed to "Accepted".</w:t>
      </w:r>
    </w:p>
    <w:p>
      <w:pPr>
        <w:pStyle w:val="Normal"/>
        <w:numPr>
          <w:ilvl w:val="0"/>
          <w:numId w:val="7"/>
        </w:numPr>
        <w:jc w:val="both"/>
        <w:rPr/>
      </w:pPr>
      <w:r>
        <w:rPr/>
        <w:t xml:space="preserve">By facsimile. </w:t>
      </w:r>
    </w:p>
    <w:p>
      <w:pPr>
        <w:pStyle w:val="Normal"/>
        <w:numPr>
          <w:ilvl w:val="0"/>
          <w:numId w:val="7"/>
        </w:numPr>
        <w:jc w:val="both"/>
        <w:rPr/>
      </w:pPr>
      <w:r>
        <w:rPr/>
        <w:t xml:space="preserve">By telephone in certain instances. </w:t>
      </w:r>
    </w:p>
    <w:p>
      <w:pPr>
        <w:pStyle w:val="Normal"/>
        <w:jc w:val="both"/>
        <w:rPr/>
      </w:pPr>
      <w:r>
        <w:rPr/>
      </w:r>
    </w:p>
    <w:p>
      <w:pPr>
        <w:pStyle w:val="Heading2"/>
        <w:ind w:hanging="0" w:start="0"/>
        <w:rPr/>
      </w:pPr>
      <w:r>
        <w:rPr/>
        <w:t>How to Submit a Bid</w:t>
      </w:r>
    </w:p>
    <w:p>
      <w:pPr>
        <w:pStyle w:val="Heading1"/>
        <w:ind w:hanging="0" w:start="0"/>
        <w:rPr/>
      </w:pPr>
      <w:r>
        <w:rPr/>
        <w:t>Overview</w:t>
      </w:r>
    </w:p>
    <w:p>
      <w:pPr>
        <w:pStyle w:val="Normal"/>
        <w:jc w:val="both"/>
        <w:rPr/>
      </w:pPr>
      <w:r>
        <w:rPr/>
      </w:r>
    </w:p>
    <w:p>
      <w:pPr>
        <w:pStyle w:val="Normal"/>
        <w:jc w:val="both"/>
        <w:rPr/>
      </w:pPr>
      <w:r>
        <w:rPr/>
        <w:t xml:space="preserve">Submissions for EnronOnline Electric Generation Capacity Auction must be completed by a bidder which, if  it does not have a master agreement with Enron Power Marketing, Inc. (“EPMI”) governing its purchase of wholesale power from EPMI (a "Master Agreement"), has duly accepted the General Terms and Conditions (GTC) which govern Electric Generation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r>
        <w:rPr/>
        <w:t xml:space="preserve">Subusers who have been granted the appropriate level of authority by their Master Users can submit bids to buy Capacity in the EnronOnline Electric Generation Capacity Auction. </w:t>
      </w:r>
    </w:p>
    <w:p>
      <w:pPr>
        <w:pStyle w:val="Normal"/>
        <w:jc w:val="both"/>
        <w:rPr/>
      </w:pPr>
      <w:r>
        <w:rPr/>
      </w:r>
    </w:p>
    <w:p>
      <w:pPr>
        <w:pStyle w:val="Normal"/>
        <w:jc w:val="both"/>
        <w:rPr/>
      </w:pPr>
      <w:r>
        <w:rPr/>
        <w:t>Submissions can be made any time after the auction opens until the Reservation Price is removed.  All bids must be firm and may not be modified after submission.    During the auction EPMI at its sole discretion may accept or reject your bid.  EPMI reserves the right to reject a bid for any reason.  If EPMI elects to accept a submitting Buyer’s bid, EPMI shall notify that Buyer within one (1) hour of EPMI’s receipt of such bid.   All bids not accepted by EPMI within one (1) hour of EPMI’s receipt thereof are deemed to be rejected.</w:t>
      </w:r>
    </w:p>
    <w:p>
      <w:pPr>
        <w:pStyle w:val="Normal"/>
        <w:jc w:val="both"/>
        <w:rPr/>
      </w:pPr>
      <w:r>
        <w:rPr/>
      </w:r>
    </w:p>
    <w:p>
      <w:pPr>
        <w:pStyle w:val="Heading1"/>
        <w:ind w:hanging="0" w:start="0"/>
        <w:jc w:val="both"/>
        <w:rPr/>
      </w:pPr>
      <w:r>
        <w:rPr/>
        <w:t xml:space="preserve">Steps Prior to Completing a Bid </w:t>
      </w:r>
    </w:p>
    <w:p>
      <w:pPr>
        <w:pStyle w:val="Normal"/>
        <w:jc w:val="both"/>
        <w:rPr/>
      </w:pPr>
      <w:r>
        <w:rPr/>
      </w:r>
    </w:p>
    <w:p>
      <w:pPr>
        <w:pStyle w:val="Normal"/>
        <w:numPr>
          <w:ilvl w:val="0"/>
          <w:numId w:val="11"/>
        </w:numPr>
        <w:tabs>
          <w:tab w:val="left" w:pos="720" w:leader="none"/>
        </w:tabs>
        <w:jc w:val="both"/>
        <w:outlineLvl w:val="0"/>
        <w:rPr/>
      </w:pPr>
      <w:r>
        <w:rPr/>
        <w:t xml:space="preserve">Obtain transaction status for EnronOnline Electric Generation Capacity Auctions. </w:t>
      </w:r>
    </w:p>
    <w:p>
      <w:pPr>
        <w:pStyle w:val="Normal"/>
        <w:numPr>
          <w:ilvl w:val="0"/>
          <w:numId w:val="0"/>
        </w:numPr>
        <w:ind w:start="720" w:end="0"/>
        <w:jc w:val="both"/>
        <w:outlineLvl w:val="0"/>
        <w:rPr/>
      </w:pPr>
      <w:r>
        <w:rPr/>
        <w:t>If your Master User has already granted you access to EnronOnline Electric Generation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If your company has a Master User Account, ask your Master User to grant you access to EnronOnline Electric Generation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Unless you have a Master Agreement with EPMI, you must accept the EnronOnline Electric Generation Capacity Auction GTC. To view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9"/>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9"/>
        </w:numPr>
        <w:tabs>
          <w:tab w:val="left" w:pos="720" w:leader="none"/>
        </w:tabs>
        <w:ind w:hanging="360" w:start="720" w:end="0"/>
        <w:jc w:val="both"/>
        <w:outlineLvl w:val="0"/>
        <w:rPr/>
      </w:pPr>
      <w:r>
        <w:rPr/>
        <w:t xml:space="preserve">Select the Capacity product you desire.  </w:t>
      </w:r>
    </w:p>
    <w:p>
      <w:pPr>
        <w:pStyle w:val="Normal"/>
        <w:numPr>
          <w:ilvl w:val="0"/>
          <w:numId w:val="9"/>
        </w:numPr>
        <w:tabs>
          <w:tab w:val="left" w:pos="720" w:leader="none"/>
        </w:tabs>
        <w:ind w:hanging="360" w:start="720" w:end="0"/>
        <w:jc w:val="both"/>
        <w:outlineLvl w:val="0"/>
        <w:rPr/>
      </w:pPr>
      <w:r>
        <w:rPr/>
        <w:t xml:space="preserve">Confirm the  Reservation Price in $ U.S. </w:t>
      </w:r>
    </w:p>
    <w:p>
      <w:pPr>
        <w:pStyle w:val="Normal"/>
        <w:numPr>
          <w:ilvl w:val="0"/>
          <w:numId w:val="9"/>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pPr>
      <w:r>
        <w:rPr/>
      </w:r>
    </w:p>
    <w:p>
      <w:pPr>
        <w:pStyle w:val="Heading1"/>
        <w:ind w:hanging="0" w:start="0"/>
        <w:jc w:val="both"/>
        <w:rPr/>
      </w:pPr>
      <w:r>
        <w:rPr/>
        <w:t>How EPMI will Respond to a Successful Bidder</w:t>
      </w:r>
    </w:p>
    <w:p>
      <w:pPr>
        <w:pStyle w:val="Normal"/>
        <w:jc w:val="both"/>
        <w:rPr/>
      </w:pPr>
      <w:r>
        <w:rPr/>
      </w:r>
    </w:p>
    <w:p>
      <w:pPr>
        <w:pStyle w:val="Normal"/>
        <w:jc w:val="both"/>
        <w:rPr/>
      </w:pPr>
      <w:r>
        <w:rPr/>
        <w:t xml:space="preserve">If EPMI elects to accept a submitting Buyer’s bid, EPMI shall notify that Buyer within one (1) hour of EPMI’s receipt of such bid.    In the Bid List, an accepted bid will have its status changed to "Accepted".  In addition, EPMI will notify a successful bidder by facsimile and (in some instances) by telephone.  </w:t>
      </w:r>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pPr>
      <w:r>
        <w:rPr/>
        <w:t xml:space="preserve">EnronOnline Electric Generation Capacity Auction Contracts Infrastructure </w:t>
      </w:r>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440"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18pt" filled="f" o:ole="">
            <v:imagedata r:id="rId8" o:title=""/>
          </v:shape>
          <o:OLEObject Type="Embed" ProgID="" ShapeID="ole_rId7" DrawAspect="Content" ObjectID="_1880946618"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Electric Generation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Normal"/>
        <w:jc w:val="both"/>
        <w:rPr/>
      </w:pPr>
      <w:r>
        <w:rPr/>
        <w:t>Unless the customer has a master agreement with Enron Power Marketing, Inc. (“EPMI”) governing its purchase of wholesale power from EPMI (the "Master Agreement"), a Master User or a Subuser must  accept the General Terms and Conditions (GTC) for EnronOnline Electric Generation Capacity Auction before submitting a bid via EnronOnline Electric Generation Capacity Auction.  To grant a Subuser access to EnronOnline Electric Generation Capacity Auction, the Master User must go into the EnronOnline Administration screen and grant Execute status for EnronOnline Electric Generation Capacity Auction to the Subuser.</w:t>
      </w:r>
    </w:p>
    <w:p>
      <w:pPr>
        <w:pStyle w:val="Normal"/>
        <w:jc w:val="both"/>
        <w:rPr/>
      </w:pPr>
      <w:r>
        <w:rPr/>
      </w:r>
    </w:p>
    <w:p>
      <w:pPr>
        <w:pStyle w:val="Normal"/>
        <w:jc w:val="both"/>
        <w:rPr/>
      </w:pPr>
      <w:r>
        <w:rPr/>
        <w:t>The Master Agreement, or if there is no Master Agreement, the EnronOnline Electric Generation Capacity Auction General Terms and Conditions (GTC), as well as the Capacity Product Terms and the Additional Contract Terms set forth below, are the wholesale power provisions that govern the transactions completed as a result of an EnronOnline Electric Generation Capacity Auction.  The GTC is similar in structure to the General Terms and Conditions used for the Products in the Transactions section of EnronOnline.</w:t>
      </w:r>
    </w:p>
    <w:p>
      <w:pPr>
        <w:pStyle w:val="Heading5"/>
        <w:ind w:hanging="0" w:start="0"/>
        <w:jc w:val="both"/>
        <w:rPr/>
      </w:pPr>
      <w:r>
        <w:rPr/>
        <w:t xml:space="preserve">  </w:t>
      </w:r>
    </w:p>
    <w:p>
      <w:pPr>
        <w:pStyle w:val="Normal"/>
        <w:jc w:val="both"/>
        <w:rPr>
          <w:i/>
          <w:i/>
        </w:rPr>
      </w:pPr>
      <w:r>
        <w:rPr>
          <w:i/>
        </w:rPr>
      </w:r>
    </w:p>
    <w:p>
      <w:pPr>
        <w:pStyle w:val="Normal"/>
        <w:jc w:val="both"/>
        <w:rPr/>
      </w:pPr>
      <w:r>
        <w:rPr/>
        <w:t>The EnronOnline auctions process is simplified in that in most cases it is not necessary to post credit in advance of submitting a bid to buy with EnronOnline Electric Generation Capacity Auction. The absence of a Master Agreement between Buyer and EPMI will have certain credit implications.   If Buyer does not have a Master Agreement in place with EPMI, a Transaction will be governed by terms of the GTC for EnronOnline Electric Generation Capacity Auction, including credit terms in Clause 11 of  the GTC.  Clause 11 establishes EPMI’s ability in certain circumstances to require from Buyer a Letter of Credit supporting Buyer’s obligations under the  Transaction. Failure to provide a Letter of Credit can lead to a default event.</w:t>
      </w:r>
    </w:p>
    <w:p>
      <w:pPr>
        <w:pStyle w:val="Normal"/>
        <w:jc w:val="both"/>
        <w:rPr/>
      </w:pPr>
      <w:r>
        <w:rPr/>
      </w:r>
    </w:p>
    <w:p>
      <w:pPr>
        <w:pStyle w:val="Heading4"/>
        <w:ind w:hanging="0" w:start="0"/>
        <w:jc w:val="both"/>
        <w:rPr>
          <w:bCs/>
        </w:rPr>
      </w:pPr>
      <w:r>
        <w:rPr>
          <w:b/>
          <w:bCs/>
        </w:rPr>
        <w:t>ADDITIONAL CONTRACT TERMS</w:t>
      </w:r>
    </w:p>
    <w:p>
      <w:pPr>
        <w:pStyle w:val="Normal"/>
        <w:jc w:val="both"/>
        <w:rPr>
          <w:bCs/>
        </w:rPr>
      </w:pPr>
      <w:r>
        <w:rPr>
          <w:bCs/>
        </w:rPr>
      </w:r>
    </w:p>
    <w:p>
      <w:pPr>
        <w:pStyle w:val="Normal"/>
        <w:jc w:val="both"/>
        <w:rPr/>
      </w:pPr>
      <w:r>
        <w:rPr/>
        <w:t>The following shall be additional contractual terms governing all transactions (each, a “Transaction”) entered into via the EnronOnline Electric Generation Capacity Auction (the "Additional Contract Terms").  Buyer and EPMI are sometimes individually referenced herein as a “Party” and jointly as “Parties”. Capitalized terms used below but not otherwise defined shall have the meaning ascribed to them in the Capacity Product Terms.  In event of any conflict between the Additional Contract Terms, the GTC and/or the Master Agreement, these Additional Contract Terms shall govern.  Energy deliverable in connection with Buyer’s call, whether Firm (LD) energy or Into Cinergy energy, is referenced herein as “Energy”.</w:t>
      </w:r>
    </w:p>
    <w:p>
      <w:pPr>
        <w:pStyle w:val="Normal"/>
        <w:jc w:val="both"/>
        <w:rPr/>
      </w:pPr>
      <w:r>
        <w:rPr/>
      </w:r>
    </w:p>
    <w:p>
      <w:pPr>
        <w:pStyle w:val="Normal"/>
        <w:jc w:val="both"/>
        <w:rPr>
          <w:b/>
          <w:bCs/>
        </w:rPr>
      </w:pPr>
      <w:r>
        <w:rPr>
          <w:b/>
          <w:bCs/>
        </w:rPr>
        <w:t>1.</w:t>
        <w:tab/>
        <w:t>Obligations and Deliveries.</w:t>
      </w:r>
    </w:p>
    <w:p>
      <w:pPr>
        <w:pStyle w:val="Normal"/>
        <w:jc w:val="both"/>
        <w:rPr/>
      </w:pPr>
      <w:r>
        <w:rPr/>
      </w:r>
    </w:p>
    <w:p>
      <w:pPr>
        <w:pStyle w:val="Normal"/>
        <w:jc w:val="both"/>
        <w:rPr/>
      </w:pPr>
      <w:r>
        <w:rPr/>
        <w:t>1.1</w:t>
        <w:tab/>
        <w:t xml:space="preserve">If Buyer properly calls on the Energy by 0800 a.m. CPT on the Business Day prior to the Delivery Day, EPMI shall be obligated to sell and deliver, or cause to be delivered, and Buyer shall be obligated to purchase and receive, or cause to be received, the Energy Quantity for each hour in the Standard Block at the Delivery Point for the applicable Delivery Day, and Buyer shall pay EPMI the Energy Price.  EPMI shall arrange and be responsible for transmission service to the Delivery Point and shall schedule or arrange for scheduling services with its transmission providers, 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Delivery Point specified in the Capacity Product Terms as to the Capacity Source, or the Other Delivery Points, as applicable. "Business Day" throughout the Capacity Product Terms and the Additional Contract Terms means (i) with respect to delivery of payments, Monday through Friday excluding Federal Reserve Bank holidays, and (ii) in all other instances, e.g., scheduling of Energy and notices, Monday through Friday excluding NERC holidays. </w:t>
      </w:r>
    </w:p>
    <w:p>
      <w:pPr>
        <w:pStyle w:val="Normal"/>
        <w:jc w:val="both"/>
        <w:rPr/>
      </w:pPr>
      <w:r>
        <w:rPr/>
      </w:r>
    </w:p>
    <w:p>
      <w:pPr>
        <w:pStyle w:val="Normal"/>
        <w:jc w:val="both"/>
        <w:rPr>
          <w:b/>
          <w:bCs/>
        </w:rPr>
      </w:pPr>
      <w:r>
        <w:rPr>
          <w:b/>
          <w:bCs/>
        </w:rPr>
        <w:t>2.</w:t>
        <w:tab/>
        <w:t>Liquidated Damages.</w:t>
      </w:r>
    </w:p>
    <w:p>
      <w:pPr>
        <w:pStyle w:val="Normal"/>
        <w:jc w:val="both"/>
        <w:rPr>
          <w:b/>
          <w:bCs/>
        </w:rPr>
      </w:pPr>
      <w:r>
        <w:rPr>
          <w:b/>
          <w:bCs/>
        </w:rPr>
      </w:r>
    </w:p>
    <w:p>
      <w:pPr>
        <w:pStyle w:val="Normal"/>
        <w:jc w:val="both"/>
        <w:rPr/>
      </w:pPr>
      <w:r>
        <w:rPr/>
        <w:t>2.1</w:t>
        <w:tab/>
        <w:t>If EPMI fails to schedule and/or deliver all or part of the Energy Quantity for a period for which the call is exercised, and such failure is not excused by Force Majeure or Buyer’s failure to perform, then EPMI shall pay Buyer,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b w:val="false"/>
          <w:bCs/>
        </w:rPr>
      </w:pPr>
      <w:r>
        <w:rPr>
          <w:b w:val="false"/>
          <w:bCs/>
        </w:rPr>
        <w:t>2.2</w:t>
        <w:tab/>
        <w:t>If Buyer fails to schedule and/or receive all or part of the Energy Quantity for a period for which the call is exercised and such failure is not excused by Force Majeure or by EPMI’s failure to perform, then Buyer shall pay EPMI,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bCs/>
        </w:rPr>
      </w:pPr>
      <w:r>
        <w:rPr>
          <w:b/>
          <w:bCs/>
        </w:rPr>
      </w:r>
    </w:p>
    <w:p>
      <w:pPr>
        <w:pStyle w:val="BodyText2"/>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pPr>
      <w:r>
        <w:rPr/>
        <w:t>2.4</w:t>
        <w:tab/>
        <w:t xml:space="preserve">"Force Majeure" shall mean </w:t>
      </w:r>
      <w:r>
        <w:rPr>
          <w:szCs w:val="24"/>
        </w:rPr>
        <w:t>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Energy Quantity purchased under a Transaction; (iii) the loss or failure of EPMI’s supply; or (iv) EPMI’s ability to sell the Energy Quantity at a price greater than the Energy Price.  Neither party may raise a claim of Force Majeure based in whole or in part on curtailment by a transmission provider unless (i) such Party has contracted for firm transmission with a transmission provider for the Energy Quantity to be delivered to or received at the Delivery Point and (ii) such curtailment is due to "force majeure" or "uncontrollable force" or a similar term as defined under such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Pr>
          <w:color w:val="000000"/>
          <w:sz w:val="24"/>
          <w:szCs w:val="24"/>
        </w:rPr>
        <w:t xml:space="preserve">  </w:t>
      </w:r>
    </w:p>
    <w:p>
      <w:pPr>
        <w:pStyle w:val="Normal"/>
        <w:jc w:val="both"/>
        <w:rPr/>
      </w:pPr>
      <w:r>
        <w:rPr/>
      </w:r>
    </w:p>
    <w:p>
      <w:pPr>
        <w:pStyle w:val="Normal"/>
        <w:jc w:val="both"/>
        <w:rPr>
          <w:b/>
          <w:bCs/>
        </w:rPr>
      </w:pPr>
      <w:r>
        <w:rPr>
          <w:b/>
          <w:bCs/>
        </w:rPr>
        <w:t>3.</w:t>
        <w:tab/>
        <w:t>Events of Default.</w:t>
      </w:r>
    </w:p>
    <w:p>
      <w:pPr>
        <w:pStyle w:val="Normal"/>
        <w:jc w:val="both"/>
        <w:rPr/>
      </w:pPr>
      <w:r>
        <w:rPr/>
      </w:r>
    </w:p>
    <w:p>
      <w:pPr>
        <w:pStyle w:val="Heading2"/>
        <w:pBdr>
          <w:top w:val="nil"/>
          <w:left w:val="nil"/>
          <w:bottom w:val="nil"/>
          <w:right w:val="nil"/>
        </w:pBdr>
        <w:ind w:hanging="0" w:start="0"/>
        <w:jc w:val="both"/>
        <w:rPr>
          <w:b w:val="false"/>
          <w:bCs/>
        </w:rPr>
      </w:pPr>
      <w:r>
        <w:rPr>
          <w:b w:val="false"/>
          <w:bCs/>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in the governing terms connected herewith is false or misleading in any material respect when made or when deemed made or repeated; (c) the failure to perform any material covenant or obligation set forth in any applicable Master Agreement or GTC, the Capacity Product Terms or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(e) the failure of such Party to satisfy creditworthiness/collateral requirements as set forth in any applicable Master Agreement or GTC, or (f) 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electric energy pursuant to the underlying enabling agreement(s) (collectively, 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bCs/>
        </w:rPr>
      </w:pPr>
      <w:r>
        <w:rPr>
          <w:b/>
          <w:bCs/>
        </w:rPr>
      </w:r>
    </w:p>
    <w:p>
      <w:pPr>
        <w:pStyle w:val="Heading2"/>
        <w:pBdr>
          <w:top w:val="nil"/>
          <w:left w:val="nil"/>
          <w:bottom w:val="nil"/>
          <w:right w:val="nil"/>
        </w:pBdr>
        <w:ind w:hanging="0" w:start="0"/>
        <w:jc w:val="both"/>
        <w:rPr>
          <w:b w:val="false"/>
          <w:bCs/>
        </w:rPr>
      </w:pPr>
      <w:r>
        <w:rPr>
          <w:b w:val="false"/>
          <w:bCs/>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bCs/>
        </w:rPr>
      </w:pPr>
      <w:r>
        <w:rPr>
          <w:b/>
          <w:bCs/>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bCs/>
        </w:rPr>
        <w:t>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electric 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bCs/>
        </w:rPr>
        <w:t>5.</w:t>
      </w:r>
      <w:r>
        <w:rPr/>
        <w:tab/>
      </w:r>
      <w:r>
        <w:rPr>
          <w:b/>
          <w:bCs/>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xml:space="preserve">.  EPMI shall not disclose the identity of the Buyer in relation to the pricing, terms or conditions of any Transaction to a third party (other than EPMI’s employees, lenders, counsel, accountants or advisors who have a need to know such information and have agreed to keep such terms confidential) prior to a public disclosure thereof by Buyer or other party having obtained such information other than from EPMI in breach hereof, except in order to comply with any applicable law, regulation, or any exchange, control area or independent system operator rule or in connection with any court or regulatory proceeding.  </w:t>
      </w:r>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staffed 24 hours per day, with access to Electric Generation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/mnt/main-storage/datasets/enron-docs/doc/CapacityAuctionWebsiteText_5july00_clean.doc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5"/>
      <w:numFmt w:val="lowerLetter"/>
      <w:lvlText w:val="%1."/>
      <w:lvlJc w:val="start"/>
      <w:pPr>
        <w:tabs>
          <w:tab w:val="num" w:pos="792"/>
        </w:tabs>
        <w:ind w:start="792"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0">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i w:val="false"/>
      <w:caps/>
      <w:sz w:val="24"/>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2000-07-05T15:44:00Z</dcterms:created>
  <dc:creator>Eric Saibi</dc:creator>
  <dc:description/>
  <dc:language>en-CA</dc:language>
  <cp:lastModifiedBy>dportz</cp:lastModifiedBy>
  <cp:lastPrinted>2000-07-05T10:00:00Z</cp:lastPrinted>
  <dcterms:modified xsi:type="dcterms:W3CDTF">2000-07-05T15:44:00Z</dcterms:modified>
  <cp:revision>3</cp:revision>
  <dc:subject/>
  <dc:title>Capacity Auction – Website Text</dc:title>
</cp:coreProperties>
</file>