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xBrc1"/>
        <w:spacing w:lineRule="auto" w:line="240"/>
        <w:rPr>
          <w:rFonts w:ascii="Xerox Serif Wide" w:hAnsi="Xerox Serif Wide" w:cs="Xerox Serif Wide"/>
          <w:b/>
          <w:sz w:val="18"/>
        </w:rPr>
      </w:pPr>
      <w:r>
        <w:rPr>
          <w:rFonts w:cs="Xerox Serif Wide" w:ascii="Xerox Serif Wide" w:hAnsi="Xerox Serif Wide"/>
          <w:b/>
          <w:sz w:val="18"/>
        </w:rPr>
      </w:r>
    </w:p>
    <w:p>
      <w:pPr>
        <w:pStyle w:val="TxBrp1"/>
        <w:tabs>
          <w:tab w:val="left" w:pos="204" w:leader="none"/>
          <w:tab w:val="left" w:pos="1710" w:leader="none"/>
        </w:tabs>
        <w:spacing w:lineRule="auto" w:line="240"/>
        <w:rPr>
          <w:rFonts w:ascii="Arial" w:hAnsi="Arial" w:cs="Arial"/>
          <w:color w:val="000080"/>
          <w:sz w:val="18"/>
        </w:rPr>
      </w:pPr>
      <w:r>
        <w:drawing>
          <wp:anchor behindDoc="1" distT="0" distB="0" distL="114935" distR="114935" simplePos="0" locked="0" layoutInCell="0" allowOverlap="1" relativeHeight="2">
            <wp:simplePos x="0" y="0"/>
            <wp:positionH relativeFrom="column">
              <wp:posOffset>-502920</wp:posOffset>
            </wp:positionH>
            <wp:positionV relativeFrom="paragraph">
              <wp:posOffset>-91440</wp:posOffset>
            </wp:positionV>
            <wp:extent cx="664845" cy="617220"/>
            <wp:effectExtent l="0" t="0" r="0" b="0"/>
            <wp:wrapTight wrapText="bothSides">
              <wp:wrapPolygon edited="0">
                <wp:start x="-308" y="0"/>
                <wp:lineTo x="-308" y="21266"/>
                <wp:lineTo x="21600" y="21266"/>
                <wp:lineTo x="21600" y="0"/>
                <wp:lineTo x="-308" y="0"/>
              </wp:wrapPolygon>
            </wp:wrapTight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4" t="-59" r="-5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000080"/>
          <w:sz w:val="18"/>
        </w:rPr>
        <w:t>Harvard Group International</w:t>
      </w:r>
    </w:p>
    <w:p>
      <w:pPr>
        <w:pStyle w:val="TxBrp1"/>
        <w:spacing w:lineRule="auto" w:line="240"/>
        <w:ind w:start="1440" w:end="0"/>
        <w:rPr>
          <w:rFonts w:ascii="Arial" w:hAnsi="Arial" w:cs="Arial"/>
          <w:color w:val="000080"/>
          <w:sz w:val="18"/>
        </w:rPr>
      </w:pPr>
      <w:r>
        <w:rPr>
          <w:rFonts w:cs="Arial" w:ascii="Arial" w:hAnsi="Arial"/>
          <w:color w:val="000080"/>
          <w:sz w:val="18"/>
        </w:rPr>
        <w:t>6000 Lake Forrest Drive</w:t>
      </w:r>
    </w:p>
    <w:p>
      <w:pPr>
        <w:pStyle w:val="TxBrp1"/>
        <w:spacing w:lineRule="auto" w:line="240"/>
        <w:ind w:start="1440" w:end="0"/>
        <w:rPr>
          <w:rFonts w:ascii="Arial" w:hAnsi="Arial" w:cs="Arial"/>
          <w:color w:val="000080"/>
          <w:sz w:val="18"/>
        </w:rPr>
      </w:pPr>
      <w:r>
        <w:rPr>
          <w:rFonts w:cs="Arial" w:ascii="Arial" w:hAnsi="Arial"/>
          <w:color w:val="000080"/>
          <w:sz w:val="18"/>
        </w:rPr>
        <w:t>Suite 400</w:t>
      </w:r>
    </w:p>
    <w:p>
      <w:pPr>
        <w:pStyle w:val="TxBrp1"/>
        <w:spacing w:lineRule="auto" w:line="240"/>
        <w:ind w:start="1440" w:end="0"/>
        <w:rPr>
          <w:rFonts w:ascii="Arial" w:hAnsi="Arial" w:cs="Arial"/>
          <w:color w:val="000080"/>
          <w:sz w:val="18"/>
        </w:rPr>
      </w:pPr>
      <w:r>
        <w:rPr>
          <w:rFonts w:cs="Arial" w:ascii="Arial" w:hAnsi="Arial"/>
          <w:color w:val="000080"/>
          <w:sz w:val="18"/>
        </w:rPr>
        <w:t>Atlanta, GA 30328</w:t>
      </w:r>
    </w:p>
    <w:p>
      <w:pPr>
        <w:pStyle w:val="TxBrp1"/>
        <w:spacing w:lineRule="auto" w:line="240"/>
        <w:rPr>
          <w:rFonts w:ascii="Arial" w:hAnsi="Arial" w:cs="Arial"/>
          <w:color w:val="000080"/>
          <w:sz w:val="18"/>
        </w:rPr>
      </w:pPr>
      <w:r>
        <w:rPr>
          <w:rFonts w:eastAsia="Arial" w:cs="Arial" w:ascii="Arial" w:hAnsi="Arial"/>
          <w:color w:val="000080"/>
          <w:sz w:val="18"/>
        </w:rPr>
        <w:t xml:space="preserve">         </w:t>
      </w:r>
      <w:r>
        <w:rPr>
          <w:rFonts w:cs="Arial" w:ascii="Arial" w:hAnsi="Arial"/>
          <w:color w:val="000080"/>
          <w:sz w:val="18"/>
        </w:rPr>
        <w:t>404-459-9045</w:t>
      </w:r>
    </w:p>
    <w:p>
      <w:pPr>
        <w:pStyle w:val="TxBrp2"/>
        <w:spacing w:lineRule="auto" w:line="240"/>
        <w:ind w:hanging="397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color w:val="000080"/>
          <w:sz w:val="18"/>
        </w:rPr>
        <w:t xml:space="preserve">         </w:t>
      </w:r>
      <w:r>
        <w:rPr>
          <w:rFonts w:cs="Arial" w:ascii="Arial" w:hAnsi="Arial"/>
          <w:color w:val="000080"/>
          <w:sz w:val="18"/>
        </w:rPr>
        <w:t>404-459-9044 fax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Xerox Serif Wide" w:hAnsi="Xerox Serif Wide" w:cs="Xerox Serif Wide"/>
          <w:b/>
          <w:sz w:val="18"/>
        </w:rPr>
      </w:pPr>
      <w:r>
        <w:rPr>
          <w:rFonts w:cs="Arial" w:ascii="Arial" w:hAnsi="Arial"/>
          <w:b/>
          <w:sz w:val="28"/>
        </w:rPr>
        <w:tab/>
        <w:tab/>
        <w:tab/>
        <w:tab/>
        <w:tab/>
        <w:t xml:space="preserve">            </w:t>
        <w:tab/>
        <w:tab/>
      </w:r>
      <w:r>
        <w:rPr>
          <w:rFonts w:cs="Arial" w:ascii="Arial" w:hAnsi="Arial"/>
          <w:b/>
          <w:color w:val="000080"/>
          <w:sz w:val="28"/>
        </w:rPr>
        <w:t xml:space="preserve">HARVARD </w:t>
      </w:r>
      <w:r>
        <w:rPr>
          <w:rFonts w:cs="Arial" w:ascii="Arial" w:hAnsi="Arial"/>
          <w:color w:val="000080"/>
          <w:sz w:val="26"/>
        </w:rPr>
        <w:t>GROUP INTERNATIONAL</w:t>
      </w:r>
    </w:p>
    <w:p>
      <w:pPr>
        <w:pStyle w:val="Normal"/>
        <w:rPr>
          <w:rFonts w:ascii="Xerox Serif Wide" w:hAnsi="Xerox Serif Wide" w:cs="Xerox Serif Wide"/>
          <w:b/>
          <w:sz w:val="18"/>
        </w:rPr>
      </w:pPr>
      <w:r>
        <w:rPr>
          <w:rFonts w:cs="Xerox Serif Wide" w:ascii="Xerox Serif Wide" w:hAnsi="Xerox Serif Wide"/>
          <w:b/>
          <w:sz w:val="18"/>
        </w:rPr>
      </w:r>
    </w:p>
    <w:p>
      <w:pPr>
        <w:pStyle w:val="Heading1"/>
        <w:ind w:hanging="0" w:start="0"/>
        <w:jc w:val="start"/>
        <w:rPr>
          <w:rFonts w:ascii="Arial" w:hAnsi="Arial" w:cs="Arial"/>
          <w:sz w:val="32"/>
        </w:rPr>
      </w:pPr>
      <w:r>
        <w:rPr/>
        <w:t>CAPABILITIES SUMMARY</w:t>
      </w:r>
    </w:p>
    <w:p>
      <w:pPr>
        <w:pStyle w:val="Normal"/>
        <w:jc w:val="both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</w:r>
    </w:p>
    <w:p>
      <w:pPr>
        <w:pStyle w:val="Heading2"/>
        <w:ind w:hanging="0" w:start="0"/>
        <w:jc w:val="start"/>
        <w:rPr>
          <w:color w:val="000080"/>
        </w:rPr>
      </w:pPr>
      <w:r>
        <w:rPr>
          <w:color w:val="000080"/>
        </w:rPr>
        <w:t>Harvard Group—The Six Sigma of Executive Search</w:t>
      </w:r>
    </w:p>
    <w:p>
      <w:pPr>
        <w:pStyle w:val="Normal"/>
        <w:jc w:val="both"/>
        <w:rPr>
          <w:color w:val="000080"/>
          <w:lang w:val="en-CA" w:eastAsia="en-CA"/>
        </w:rPr>
      </w:pPr>
      <w:r>
        <w:rPr>
          <w:color w:val="00008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-62865</wp:posOffset>
                </wp:positionH>
                <wp:positionV relativeFrom="paragraph">
                  <wp:posOffset>46990</wp:posOffset>
                </wp:positionV>
                <wp:extent cx="6858000" cy="0"/>
                <wp:effectExtent l="0" t="28575" r="0" b="2857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95pt,3.7pt" to="535pt,3.7pt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8"/>
        </w:rPr>
        <w:t>Harvard Group International</w:t>
      </w:r>
      <w:r>
        <w:rPr>
          <w:rFonts w:cs="Arial" w:ascii="Arial" w:hAnsi="Arial"/>
          <w:sz w:val="28"/>
        </w:rPr>
        <w:t xml:space="preserve"> </w:t>
      </w:r>
      <w:r>
        <w:rPr>
          <w:rFonts w:cs="Arial" w:ascii="Arial" w:hAnsi="Arial"/>
          <w:b/>
          <w:bCs/>
          <w:sz w:val="28"/>
        </w:rPr>
        <w:t>Specializes In</w:t>
      </w:r>
      <w:r>
        <w:rPr>
          <w:rFonts w:cs="Arial" w:ascii="Arial" w:hAnsi="Arial"/>
          <w:sz w:val="28"/>
        </w:rPr>
        <w:t xml:space="preserve"> </w:t>
      </w:r>
      <w:r>
        <w:rPr>
          <w:rFonts w:cs="Arial" w:ascii="Arial" w:hAnsi="Arial"/>
          <w:b/>
          <w:sz w:val="28"/>
        </w:rPr>
        <w:t>Executive Search</w:t>
      </w:r>
    </w:p>
    <w:p>
      <w:pPr>
        <w:pStyle w:val="Normal"/>
        <w:jc w:val="center"/>
        <w:rPr>
          <w:rFonts w:ascii="Arial" w:hAnsi="Arial" w:cs="Arial"/>
          <w:b/>
          <w:color w:val="000080"/>
          <w:sz w:val="28"/>
        </w:rPr>
      </w:pPr>
      <w:r>
        <w:rPr>
          <w:rFonts w:cs="Arial" w:ascii="Arial" w:hAnsi="Arial"/>
          <w:b/>
          <w:color w:val="000080"/>
          <w:sz w:val="28"/>
        </w:rPr>
        <w:t>We Are Known As The Turnaround Experts.</w:t>
      </w:r>
    </w:p>
    <w:p>
      <w:pPr>
        <w:pStyle w:val="Normal"/>
        <w:jc w:val="center"/>
        <w:rPr/>
      </w:pPr>
      <w:r>
        <w:rPr>
          <w:rFonts w:cs="Arial" w:ascii="Arial" w:hAnsi="Arial"/>
          <w:bCs/>
        </w:rPr>
        <w:t xml:space="preserve">We are recognized </w:t>
      </w:r>
      <w:r>
        <w:rPr>
          <w:rFonts w:cs="Arial" w:ascii="Arial" w:hAnsi="Arial"/>
        </w:rPr>
        <w:t>both domestically and internationally in the following industry segments:</w:t>
      </w:r>
    </w:p>
    <w:p>
      <w:pPr>
        <w:sectPr>
          <w:type w:val="nextPage"/>
          <w:pgSz w:w="12240" w:h="15840"/>
          <w:pgMar w:left="720" w:right="720" w:gutter="0" w:header="0" w:top="810" w:footer="0" w:bottom="144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continuous"/>
          <w:pgSz w:w="12240" w:h="15840"/>
          <w:pgMar w:left="720" w:right="720" w:gutter="0" w:header="0" w:top="810" w:footer="0" w:bottom="1440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1800" w:end="0"/>
        <w:jc w:val="both"/>
        <w:rPr>
          <w:rFonts w:ascii="Arial" w:hAnsi="Arial" w:cs="Arial"/>
          <w:b/>
          <w:bCs/>
          <w:color w:val="000080"/>
          <w:sz w:val="28"/>
        </w:rPr>
      </w:pPr>
      <w:r>
        <w:rPr>
          <w:rFonts w:cs="Arial" w:ascii="Arial" w:hAnsi="Arial"/>
          <w:b/>
          <w:bCs/>
          <w:color w:val="000080"/>
          <w:sz w:val="28"/>
        </w:rPr>
        <w:t>Automotive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jc w:val="both"/>
        <w:rPr>
          <w:rFonts w:ascii="Arial" w:hAnsi="Arial" w:cs="Arial"/>
          <w:b/>
          <w:bCs/>
          <w:color w:val="000080"/>
          <w:sz w:val="28"/>
        </w:rPr>
      </w:pPr>
      <w:r>
        <w:rPr>
          <w:rFonts w:cs="Arial" w:ascii="Arial" w:hAnsi="Arial"/>
          <w:b/>
          <w:bCs/>
          <w:color w:val="000080"/>
          <w:sz w:val="28"/>
        </w:rPr>
        <w:t xml:space="preserve">Aerospace </w:t>
      </w:r>
    </w:p>
    <w:p>
      <w:pPr>
        <w:pStyle w:val="Normal"/>
        <w:jc w:val="both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ab/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80"/>
          <w:sz w:val="28"/>
        </w:rPr>
      </w:pPr>
      <w:r>
        <w:rPr>
          <w:rFonts w:cs="Arial" w:ascii="Arial" w:hAnsi="Arial"/>
          <w:b/>
          <w:bCs/>
          <w:color w:val="000080"/>
          <w:sz w:val="28"/>
        </w:rPr>
        <w:t>Telecommunications</w:t>
      </w:r>
    </w:p>
    <w:p>
      <w:pPr>
        <w:pStyle w:val="Normal"/>
        <w:numPr>
          <w:ilvl w:val="0"/>
          <w:numId w:val="3"/>
        </w:numPr>
        <w:ind w:hanging="360" w:start="360" w:end="-630"/>
        <w:jc w:val="both"/>
        <w:rPr>
          <w:rFonts w:ascii="Arial" w:hAnsi="Arial" w:cs="Arial"/>
          <w:b/>
          <w:bCs/>
          <w:color w:val="000080"/>
          <w:sz w:val="28"/>
        </w:rPr>
      </w:pPr>
      <w:r>
        <w:rPr>
          <w:rFonts w:cs="Arial" w:ascii="Arial" w:hAnsi="Arial"/>
          <w:b/>
          <w:bCs/>
          <w:color w:val="000080"/>
          <w:sz w:val="28"/>
        </w:rPr>
        <w:t>Energy</w:t>
      </w:r>
    </w:p>
    <w:p>
      <w:pPr>
        <w:sectPr>
          <w:type w:val="continuous"/>
          <w:pgSz w:w="12240" w:h="15840"/>
          <w:pgMar w:left="720" w:right="720" w:gutter="0" w:header="0" w:top="810" w:footer="0" w:bottom="1440"/>
          <w:cols w:num="2" w:space="720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9540" w:leader="none"/>
        </w:tabs>
        <w:ind w:end="-360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  <w:t>Our Executive Search Philosphy:  every business is a growth Business.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Harvard Group International’s Executive Search practice is based on proven principles of market analysis and landmark studies of managerial and leadership performance to identify, evaluate and bring forward best-in-class individuals to our clients.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Harvard Group International is comprised of seasoned leadership and consultants with an unmatched determination to succeed and a dogmatic focus on performance and service.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We guarantee a 30-day turnaround time frame on all search programs.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We are the turnaround experts—we bring forward the Best-In-Class management that changes the company.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Harvard Group International has a 100% completion rate on search programs. 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eastAsia="Arial" w:cs="Arial" w:ascii="Arial" w:hAnsi="Arial"/>
          <w:b/>
        </w:rPr>
        <w:t xml:space="preserve">      </w:t>
      </w:r>
      <w:r>
        <w:rPr>
          <w:rFonts w:cs="Arial" w:ascii="Arial" w:hAnsi="Arial"/>
          <w:b/>
        </w:rPr>
        <w:t>(Over 1,100 completed)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  <w:t>Strategic business development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Harvard Group International works with your company’s leadership to develop new business, or expand your business.  We have fully achieved specific objectives in every case.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rPr/>
      </w:pPr>
      <w:r>
        <w:rPr/>
        <w:t xml:space="preserve">Harvard Group International has developed a powerful and straightforward process of pinpointing and solving performance disparities between planned initiatives and tactical and strategic results.  </w:t>
      </w:r>
    </w:p>
    <w:p>
      <w:pPr>
        <w:pStyle w:val="TxBrp1"/>
        <w:tabs>
          <w:tab w:val="clear" w:pos="204"/>
        </w:tabs>
        <w:spacing w:lineRule="auto" w:line="2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</w:rPr>
        <w:t>“</w:t>
      </w:r>
      <w:r>
        <w:rPr>
          <w:rFonts w:cs="Arial" w:ascii="Arial" w:hAnsi="Arial"/>
          <w:b/>
        </w:rPr>
        <w:t>Turnarounds” or “repositioning” of some of the greatest companies and their case history will be discussed and detailed under a confidentiality agreement.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Harvard Group International will bring the vitality and change that will assure you ultimate future success.</w:t>
      </w:r>
    </w:p>
    <w:sectPr>
      <w:type w:val="continuous"/>
      <w:pgSz w:w="12240" w:h="15840"/>
      <w:pgMar w:left="720" w:right="720" w:gutter="0" w:header="0" w:top="810" w:footer="0" w:bottom="1440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Xerox Serif Wide">
    <w:charset w:val="00" w:characterSet="windows-125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32"/>
    </w:rPr>
  </w:style>
  <w:style w:type="character" w:styleId="WW8Num1z0">
    <w:name w:val="WW8Num1z0"/>
    <w:qFormat/>
    <w:rPr>
      <w:rFonts w:ascii="Symbol" w:hAnsi="Symbol" w:cs="Symbol"/>
      <w:sz w:val="24"/>
    </w:rPr>
  </w:style>
  <w:style w:type="character" w:styleId="WW8Num2z0">
    <w:name w:val="WW8Num2z0"/>
    <w:qFormat/>
    <w:rPr>
      <w:rFonts w:ascii="Symbol" w:hAnsi="Symbol" w:cs="Symbol"/>
      <w:sz w:val="24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  <w:sz w:val="24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4"/>
    </w:rPr>
  </w:style>
  <w:style w:type="character" w:styleId="WW8Num9z0">
    <w:name w:val="WW8Num9z0"/>
    <w:qFormat/>
    <w:rPr>
      <w:rFonts w:ascii="Symbol" w:hAnsi="Symbol" w:cs="Symbol"/>
      <w:sz w:val="24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24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sz w:val="24"/>
    </w:rPr>
  </w:style>
  <w:style w:type="character" w:styleId="WW8Num13z0">
    <w:name w:val="WW8Num13z0"/>
    <w:qFormat/>
    <w:rPr>
      <w:rFonts w:ascii="Symbol" w:hAnsi="Symbol" w:cs="Symbol"/>
      <w:sz w:val="24"/>
    </w:rPr>
  </w:style>
  <w:style w:type="character" w:styleId="WW8Num14z0">
    <w:name w:val="WW8Num14z0"/>
    <w:qFormat/>
    <w:rPr>
      <w:rFonts w:ascii="Symbol" w:hAnsi="Symbol" w:cs="Symbol"/>
      <w:sz w:val="24"/>
    </w:rPr>
  </w:style>
  <w:style w:type="character" w:styleId="WW8Num15z0">
    <w:name w:val="WW8Num15z0"/>
    <w:qFormat/>
    <w:rPr>
      <w:rFonts w:ascii="Symbol" w:hAnsi="Symbol" w:cs="Symbol"/>
      <w:sz w:val="24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sz w:val="24"/>
    </w:rPr>
  </w:style>
  <w:style w:type="character" w:styleId="WW8Num18z0">
    <w:name w:val="WW8Num18z0"/>
    <w:qFormat/>
    <w:rPr>
      <w:rFonts w:ascii="Symbol" w:hAnsi="Symbol" w:cs="Symbol"/>
      <w:sz w:val="24"/>
    </w:rPr>
  </w:style>
  <w:style w:type="character" w:styleId="WW8Num19z0">
    <w:name w:val="WW8Num19z0"/>
    <w:qFormat/>
    <w:rPr>
      <w:rFonts w:ascii="Symbol" w:hAnsi="Symbol" w:cs="Symbol"/>
      <w:sz w:val="24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sz w:val="24"/>
    </w:rPr>
  </w:style>
  <w:style w:type="character" w:styleId="WW8Num22z0">
    <w:name w:val="WW8Num22z0"/>
    <w:qFormat/>
    <w:rPr>
      <w:rFonts w:ascii="Symbol" w:hAnsi="Symbol" w:cs="Symbol"/>
      <w:sz w:val="24"/>
    </w:rPr>
  </w:style>
  <w:style w:type="character" w:styleId="WW8Num23z0">
    <w:name w:val="WW8Num23z0"/>
    <w:qFormat/>
    <w:rPr>
      <w:rFonts w:ascii="Symbol" w:hAnsi="Symbol" w:cs="Symbol"/>
      <w:sz w:val="24"/>
    </w:rPr>
  </w:style>
  <w:style w:type="character" w:styleId="WW8Num24z0">
    <w:name w:val="WW8Num24z0"/>
    <w:qFormat/>
    <w:rPr>
      <w:rFonts w:ascii="Symbol" w:hAnsi="Symbol" w:cs="Symbol"/>
      <w:sz w:val="24"/>
    </w:rPr>
  </w:style>
  <w:style w:type="character" w:styleId="WW8Num25z0">
    <w:name w:val="WW8Num25z0"/>
    <w:qFormat/>
    <w:rPr>
      <w:rFonts w:ascii="Symbol" w:hAnsi="Symbol" w:cs="Symbol"/>
      <w:sz w:val="24"/>
    </w:rPr>
  </w:style>
  <w:style w:type="character" w:styleId="WW8Num26z0">
    <w:name w:val="WW8Num26z0"/>
    <w:qFormat/>
    <w:rPr>
      <w:rFonts w:ascii="Symbol" w:hAnsi="Symbol" w:cs="Symbol"/>
      <w:sz w:val="24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2"/>
    </w:rPr>
  </w:style>
  <w:style w:type="paragraph" w:styleId="Subtitle">
    <w:name w:val="Subtitle"/>
    <w:basedOn w:val="Normal"/>
    <w:next w:val="BodyText"/>
    <w:qFormat/>
    <w:pPr>
      <w:tabs>
        <w:tab w:val="clear" w:pos="720"/>
        <w:tab w:val="left" w:pos="2552" w:leader="none"/>
      </w:tabs>
      <w:jc w:val="center"/>
    </w:pPr>
    <w:rPr>
      <w:rFonts w:ascii="Arial" w:hAnsi="Arial" w:cs="Arial"/>
      <w:b/>
      <w:kern w:val="2"/>
      <w:sz w:val="32"/>
      <w:u w:val="single"/>
    </w:rPr>
  </w:style>
  <w:style w:type="paragraph" w:styleId="TxBrp1">
    <w:name w:val="TxBr_p1"/>
    <w:basedOn w:val="Normal"/>
    <w:qFormat/>
    <w:pPr>
      <w:tabs>
        <w:tab w:val="clear" w:pos="720"/>
        <w:tab w:val="left" w:pos="204" w:leader="none"/>
      </w:tabs>
      <w:spacing w:lineRule="atLeast" w:line="240"/>
    </w:pPr>
    <w:rPr/>
  </w:style>
  <w:style w:type="paragraph" w:styleId="TxBrp2">
    <w:name w:val="TxBr_p2"/>
    <w:basedOn w:val="Normal"/>
    <w:qFormat/>
    <w:pPr>
      <w:tabs>
        <w:tab w:val="clear" w:pos="720"/>
        <w:tab w:val="left" w:pos="1043" w:leader="none"/>
      </w:tabs>
      <w:spacing w:lineRule="atLeast" w:line="240"/>
      <w:ind w:hanging="1043" w:start="397" w:end="0"/>
    </w:pPr>
    <w:rPr/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b/>
    </w:rPr>
  </w:style>
  <w:style w:type="paragraph" w:styleId="TxBrc1">
    <w:name w:val="TxBr_c1"/>
    <w:basedOn w:val="Normal"/>
    <w:qFormat/>
    <w:pPr>
      <w:widowControl w:val="false"/>
      <w:autoSpaceDE w:val="false"/>
      <w:spacing w:lineRule="atLeast" w:line="240"/>
      <w:jc w:val="center"/>
    </w:pPr>
    <w:rPr>
      <w:sz w:val="20"/>
      <w:szCs w:val="24"/>
    </w:rPr>
  </w:style>
  <w:style w:type="paragraph" w:styleId="TxBrp4">
    <w:name w:val="TxBr_p4"/>
    <w:basedOn w:val="Normal"/>
    <w:qFormat/>
    <w:pPr>
      <w:widowControl w:val="false"/>
      <w:tabs>
        <w:tab w:val="clear" w:pos="720"/>
        <w:tab w:val="left" w:pos="204" w:leader="none"/>
      </w:tabs>
      <w:autoSpaceDE w:val="false"/>
      <w:spacing w:lineRule="atLeast" w:line="240"/>
    </w:pPr>
    <w:rPr>
      <w:sz w:val="20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2001-06-25T15:32:00Z</dcterms:created>
  <dc:creator>Terri Smith</dc:creator>
  <dc:description/>
  <dc:language>en-CA</dc:language>
  <cp:lastModifiedBy>Harvard Group</cp:lastModifiedBy>
  <cp:lastPrinted>2001-06-20T10:24:00Z</cp:lastPrinted>
  <dcterms:modified xsi:type="dcterms:W3CDTF">2001-06-25T15:32:00Z</dcterms:modified>
  <cp:revision>2</cp:revision>
  <dc:subject/>
  <dc:title>CAPABILITIES SUMMARY</dc:title>
</cp:coreProperties>
</file>