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EnronLogoAddr1 </w:instrText>
            </w:r>
            <w:r>
              <w:rPr>
                <w:sz w:val="20"/>
              </w:rPr>
              <w:fldChar w:fldCharType="separate"/>
            </w:r>
            <w:r>
              <w:rPr>
                <w:sz w:val="20"/>
              </w:rPr>
              <w:t>P.O. Box 4428</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EnronLogoAddr2 </w:instrText>
            </w:r>
            <w:r>
              <w:rPr>
                <w:sz w:val="20"/>
              </w:rPr>
              <w:fldChar w:fldCharType="separate"/>
            </w:r>
            <w:r>
              <w:rPr>
                <w:sz w:val="20"/>
              </w:rPr>
              <w:t>Houston TX 77210-4428</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EnronLogoAddr3 </w:instrText>
            </w:r>
            <w:r>
              <w:rPr>
                <w:sz w:val="20"/>
              </w:rPr>
              <w:fldChar w:fldCharType="separate"/>
            </w:r>
            <w:r>
              <w:rPr>
                <w:sz w:val="20"/>
              </w:rPr>
              <w:t>(713) 853-3300</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EnronLogoTelephone </w:instrText>
            </w:r>
            <w:r>
              <w:rPr>
                <w:sz w:val="20"/>
              </w:rPr>
              <w:fldChar w:fldCharType="separate"/>
            </w:r>
            <w:r>
              <w:rPr>
                <w:sz w:val="20"/>
              </w:rPr>
              <w:t>Fax (713) 646-4816</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EnronLogoFax </w:instrText>
            </w:r>
            <w:r>
              <w:rPr>
                <w:sz w:val="20"/>
              </w:rPr>
              <w:fldChar w:fldCharType="separate"/>
            </w:r>
            <w:r>
              <w:rPr>
                <w:sz w:val="20"/>
              </w:rPr>
              <w:t xml:space="preserve"> </w:t>
            </w:r>
            <w:r>
              <w:rPr>
                <w:sz w:val="20"/>
              </w:rPr>
              <w:fldChar w:fldCharType="end"/>
            </w:r>
          </w:p>
        </w:tc>
      </w:tr>
    </w:tbl>
    <w:p>
      <w:pPr>
        <w:pStyle w:val="Normal"/>
        <w:rPr>
          <w:color w:val="FF0000"/>
          <w:sz w:val="20"/>
        </w:rPr>
      </w:pPr>
      <w:r>
        <w:rPr>
          <w:color w:val="FF0000"/>
          <w:sz w:val="20"/>
        </w:rPr>
      </w:r>
    </w:p>
    <w:p>
      <w:pPr>
        <w:pStyle w:val="Normal"/>
        <w:rPr>
          <w:color w:val="FF0000"/>
          <w:sz w:val="20"/>
        </w:rPr>
      </w:pPr>
      <w:r>
        <w:rPr>
          <w:color w:val="FF0000"/>
          <w:sz w:val="20"/>
        </w:rPr>
      </w:r>
    </w:p>
    <w:p>
      <w:pPr>
        <w:pStyle w:val="Normal"/>
        <w:rPr>
          <w:color w:val="FF0000"/>
          <w:sz w:val="20"/>
        </w:rPr>
      </w:pPr>
      <w:r>
        <w:rPr>
          <w:color w:val="FF0000"/>
          <w:sz w:val="20"/>
        </w:rPr>
        <w:t>[DATE]</w:t>
      </w:r>
    </w:p>
    <w:p>
      <w:pPr>
        <w:pStyle w:val="Normal"/>
        <w:rPr>
          <w:color w:val="FF0000"/>
          <w:sz w:val="20"/>
        </w:rPr>
      </w:pPr>
      <w:r>
        <w:rPr>
          <w:color w:val="FF0000"/>
          <w:sz w:val="20"/>
        </w:rPr>
      </w:r>
    </w:p>
    <w:p>
      <w:pPr>
        <w:pStyle w:val="Normal"/>
        <w:rPr>
          <w:color w:val="FF0000"/>
          <w:sz w:val="20"/>
        </w:rPr>
      </w:pPr>
      <w:r>
        <w:rPr>
          <w:color w:val="FF0000"/>
          <w:sz w:val="20"/>
        </w:rPr>
        <w:t>[CP NAME]</w:t>
      </w:r>
    </w:p>
    <w:p>
      <w:pPr>
        <w:pStyle w:val="Normal"/>
        <w:rPr>
          <w:color w:val="FF0000"/>
          <w:sz w:val="20"/>
        </w:rPr>
      </w:pPr>
      <w:r>
        <w:rPr>
          <w:color w:val="FF0000"/>
          <w:sz w:val="20"/>
        </w:rPr>
        <w:t>[ADDRESS]</w:t>
      </w:r>
    </w:p>
    <w:p>
      <w:pPr>
        <w:pStyle w:val="Normal"/>
        <w:rPr>
          <w:color w:val="000000"/>
          <w:sz w:val="20"/>
        </w:rPr>
      </w:pPr>
      <w:r>
        <w:rPr>
          <w:color w:val="000000"/>
          <w:sz w:val="20"/>
        </w:rPr>
      </w:r>
    </w:p>
    <w:p>
      <w:pPr>
        <w:pStyle w:val="Normal"/>
        <w:rPr>
          <w:color w:val="000000"/>
          <w:sz w:val="20"/>
        </w:rPr>
      </w:pPr>
      <w:r>
        <w:rPr>
          <w:color w:val="000000"/>
          <w:sz w:val="20"/>
        </w:rPr>
        <w:t xml:space="preserve">Attention:  </w:t>
      </w:r>
      <w:r>
        <w:rPr>
          <w:color w:val="FF0000"/>
          <w:sz w:val="20"/>
        </w:rPr>
        <w:t>[             ]</w:t>
      </w:r>
    </w:p>
    <w:p>
      <w:pPr>
        <w:pStyle w:val="Normal"/>
        <w:rPr>
          <w:color w:val="000000"/>
          <w:sz w:val="20"/>
        </w:rPr>
      </w:pPr>
      <w:r>
        <w:rPr>
          <w:color w:val="000000"/>
          <w:sz w:val="20"/>
        </w:rPr>
      </w:r>
    </w:p>
    <w:p>
      <w:pPr>
        <w:pStyle w:val="Normal"/>
        <w:rPr>
          <w:color w:val="000000"/>
          <w:sz w:val="20"/>
        </w:rPr>
      </w:pPr>
      <w:r>
        <w:rPr>
          <w:color w:val="000000"/>
          <w:sz w:val="20"/>
        </w:rPr>
        <w:t xml:space="preserve">Fax No.: </w:t>
      </w:r>
      <w:r>
        <w:rPr>
          <w:color w:val="FF0000"/>
          <w:sz w:val="20"/>
        </w:rPr>
        <w:t>[             ]</w:t>
      </w:r>
    </w:p>
    <w:p>
      <w:pPr>
        <w:pStyle w:val="Normal"/>
        <w:rPr>
          <w:color w:val="000000"/>
          <w:sz w:val="20"/>
        </w:rPr>
      </w:pPr>
      <w:r>
        <w:rPr>
          <w:color w:val="000000"/>
          <w:sz w:val="20"/>
        </w:rPr>
        <w:t xml:space="preserve">Telephone No.: </w:t>
      </w:r>
      <w:r>
        <w:rPr>
          <w:color w:val="FF0000"/>
          <w:sz w:val="20"/>
        </w:rPr>
        <w:t>[             ]</w:t>
      </w:r>
    </w:p>
    <w:p>
      <w:pPr>
        <w:pStyle w:val="Normal"/>
        <w:rPr>
          <w:color w:val="000000"/>
          <w:sz w:val="20"/>
        </w:rPr>
      </w:pPr>
      <w:r>
        <w:rPr>
          <w:color w:val="000000"/>
          <w:sz w:val="20"/>
        </w:rPr>
      </w:r>
    </w:p>
    <w:p>
      <w:pPr>
        <w:pStyle w:val="Normal"/>
        <w:rPr>
          <w:color w:val="000000"/>
          <w:sz w:val="20"/>
        </w:rPr>
      </w:pPr>
      <w:r>
        <w:rPr>
          <w:color w:val="000000"/>
          <w:sz w:val="20"/>
        </w:rPr>
      </w:r>
    </w:p>
    <w:p>
      <w:pPr>
        <w:pStyle w:val="Normal"/>
        <w:jc w:val="both"/>
        <w:rPr>
          <w:b/>
          <w:sz w:val="20"/>
        </w:rPr>
      </w:pPr>
      <w:r>
        <w:rPr>
          <w:b/>
          <w:color w:val="000000"/>
          <w:sz w:val="20"/>
        </w:rPr>
        <w:t>Re:</w:t>
        <w:tab/>
        <w:t xml:space="preserve">WEATHER TRANSACTION -- ENA Contract No. </w:t>
      </w:r>
      <w:r>
        <w:rPr>
          <w:b/>
          <w:color w:val="FF0000"/>
          <w:sz w:val="20"/>
        </w:rPr>
        <w:t>[             ]</w:t>
      </w:r>
    </w:p>
    <w:p>
      <w:pPr>
        <w:pStyle w:val="Normal"/>
        <w:jc w:val="both"/>
        <w:rPr>
          <w:b/>
          <w:sz w:val="20"/>
        </w:rPr>
      </w:pPr>
      <w:r>
        <w:rPr>
          <w:b/>
          <w:sz w:val="20"/>
        </w:rPr>
      </w:r>
    </w:p>
    <w:p>
      <w:pPr>
        <w:pStyle w:val="Normal"/>
        <w:jc w:val="both"/>
        <w:rPr>
          <w:sz w:val="20"/>
        </w:rPr>
      </w:pPr>
      <w:r>
        <w:rPr>
          <w:color w:val="000000"/>
          <w:sz w:val="20"/>
        </w:rPr>
        <w:t>Dear Sirs:</w:t>
      </w:r>
    </w:p>
    <w:p>
      <w:pPr>
        <w:pStyle w:val="Normal"/>
        <w:jc w:val="both"/>
        <w:rPr>
          <w:sz w:val="20"/>
        </w:rPr>
      </w:pPr>
      <w:r>
        <w:rPr>
          <w:sz w:val="20"/>
        </w:rPr>
      </w:r>
    </w:p>
    <w:p>
      <w:pPr>
        <w:pStyle w:val="Normal"/>
        <w:jc w:val="both"/>
        <w:rPr/>
      </w:pPr>
      <w:r>
        <w:rPr>
          <w:sz w:val="20"/>
        </w:rPr>
        <w:t xml:space="preserve">The purpose of this document is to confirm the terms and conditions of the transaction entered into between </w:t>
      </w:r>
      <w:r>
        <w:rPr>
          <w:color w:val="FF0000"/>
          <w:sz w:val="20"/>
        </w:rPr>
        <w:t>[CP NAME]</w:t>
      </w:r>
      <w:r>
        <w:rPr>
          <w:sz w:val="20"/>
        </w:rPr>
        <w:t xml:space="preserve"> (“Counterparty”) and Enron North America Corp. (“ENA”) on </w:t>
      </w:r>
      <w:r>
        <w:rPr>
          <w:color w:val="FF0000"/>
          <w:sz w:val="20"/>
        </w:rPr>
        <w:t>[TRADE DATE]</w:t>
      </w:r>
      <w:r>
        <w:rPr>
          <w:sz w:val="20"/>
        </w:rPr>
        <w:t xml:space="preserve"> (the “Transaction”).  This document constitutes a “Confirmation” as referred to in the ISDA Master Agreement specified below.  </w:t>
      </w:r>
    </w:p>
    <w:p>
      <w:pPr>
        <w:pStyle w:val="Normal"/>
        <w:jc w:val="both"/>
        <w:rPr>
          <w:sz w:val="20"/>
        </w:rPr>
      </w:pPr>
      <w:r>
        <w:rPr>
          <w:sz w:val="20"/>
        </w:rPr>
      </w:r>
    </w:p>
    <w:p>
      <w:pPr>
        <w:pStyle w:val="Normal"/>
        <w:jc w:val="both"/>
        <w:rPr/>
      </w:pPr>
      <w:r>
        <w:rPr>
          <w:sz w:val="20"/>
        </w:rPr>
        <w:t>1.</w:t>
        <w:tab/>
        <w:t xml:space="preserve">This Confirmation will supplement, form part of, and be subject to, the 1992 ISDA Master Agreement dated as of </w:t>
      </w:r>
      <w:r>
        <w:rPr>
          <w:color w:val="FF0000"/>
          <w:sz w:val="20"/>
        </w:rPr>
        <w:t>[DATE],</w:t>
      </w:r>
      <w:r>
        <w:rPr>
          <w:sz w:val="20"/>
        </w:rPr>
        <w:t xml:space="preserve"> as amended and supplemented from time to time (the “Agreement”), entered into between you and us.  All provisions contained in the Agreement shall govern this Confirmation except as expressly modified below.</w:t>
      </w:r>
    </w:p>
    <w:p>
      <w:pPr>
        <w:pStyle w:val="Normal"/>
        <w:jc w:val="both"/>
        <w:rPr>
          <w:sz w:val="20"/>
        </w:rPr>
      </w:pPr>
      <w:r>
        <w:rPr>
          <w:sz w:val="20"/>
        </w:rPr>
      </w:r>
    </w:p>
    <w:p>
      <w:pPr>
        <w:pStyle w:val="BodyText"/>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jc w:val="both"/>
        <w:rPr>
          <w:sz w:val="20"/>
        </w:rPr>
      </w:pPr>
      <w:r>
        <w:rPr>
          <w:b/>
          <w:color w:val="000000"/>
          <w:sz w:val="20"/>
        </w:rPr>
        <w:t>2.</w:t>
        <w:tab/>
      </w: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168"/>
        <w:gridCol w:w="1260"/>
        <w:gridCol w:w="4428"/>
        <w:gridCol w:w="720"/>
      </w:tblGrid>
      <w:tr>
        <w:trPr/>
        <w:tc>
          <w:tcPr>
            <w:tcW w:w="3168" w:type="dxa"/>
            <w:tcBorders/>
          </w:tcPr>
          <w:p>
            <w:pPr>
              <w:pStyle w:val="Normal"/>
              <w:jc w:val="both"/>
              <w:rPr>
                <w:sz w:val="20"/>
              </w:rPr>
            </w:pPr>
            <w:r>
              <w:rPr>
                <w:sz w:val="20"/>
              </w:rPr>
              <w:t>Transaction Type:</w:t>
            </w:r>
          </w:p>
        </w:tc>
        <w:tc>
          <w:tcPr>
            <w:tcW w:w="6408" w:type="dxa"/>
            <w:gridSpan w:val="3"/>
            <w:tcBorders/>
          </w:tcPr>
          <w:p>
            <w:pPr>
              <w:pStyle w:val="Normal"/>
              <w:jc w:val="both"/>
              <w:rPr>
                <w:sz w:val="20"/>
              </w:rPr>
            </w:pPr>
            <w:r>
              <w:rPr>
                <w:sz w:val="20"/>
              </w:rPr>
              <w:t>Heating Degree Day (“HDD”) Cap Option</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Notional Amount:</w:t>
            </w:r>
          </w:p>
        </w:tc>
        <w:tc>
          <w:tcPr>
            <w:tcW w:w="6408" w:type="dxa"/>
            <w:gridSpan w:val="3"/>
            <w:tcBorders/>
          </w:tcPr>
          <w:p>
            <w:pPr>
              <w:pStyle w:val="Normal"/>
              <w:jc w:val="both"/>
              <w:rPr>
                <w:sz w:val="20"/>
              </w:rPr>
            </w:pPr>
            <w:r>
              <w:rPr>
                <w:color w:val="FF0000"/>
                <w:sz w:val="20"/>
              </w:rPr>
              <w:t xml:space="preserve">$[             ] </w:t>
            </w:r>
            <w:r>
              <w:rPr>
                <w:color w:val="000000"/>
                <w:sz w:val="20"/>
              </w:rPr>
              <w:t>per HDD</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Trade Date:</w:t>
            </w:r>
          </w:p>
        </w:tc>
        <w:tc>
          <w:tcPr>
            <w:tcW w:w="6408" w:type="dxa"/>
            <w:gridSpan w:val="3"/>
            <w:tcBorders/>
          </w:tcPr>
          <w:p>
            <w:pPr>
              <w:pStyle w:val="Normal"/>
              <w:jc w:val="both"/>
              <w:rPr>
                <w:color w:val="FF0000"/>
                <w:sz w:val="20"/>
              </w:rPr>
            </w:pPr>
            <w:r>
              <w:rPr>
                <w:color w:val="FF0000"/>
                <w:sz w:val="20"/>
              </w:rPr>
              <w:t>[             ]</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jc w:val="both"/>
              <w:rPr>
                <w:sz w:val="20"/>
              </w:rPr>
            </w:pPr>
            <w:r>
              <w:rPr>
                <w:sz w:val="20"/>
              </w:rPr>
              <w:t>Effective Date:</w:t>
            </w:r>
          </w:p>
        </w:tc>
        <w:tc>
          <w:tcPr>
            <w:tcW w:w="6408" w:type="dxa"/>
            <w:gridSpan w:val="3"/>
            <w:tcBorders/>
          </w:tcPr>
          <w:p>
            <w:pPr>
              <w:pStyle w:val="Normal"/>
              <w:jc w:val="both"/>
              <w:rPr>
                <w:color w:val="FF0000"/>
                <w:sz w:val="20"/>
              </w:rPr>
            </w:pPr>
            <w:r>
              <w:rPr>
                <w:color w:val="FF0000"/>
                <w:sz w:val="20"/>
              </w:rPr>
              <w:t>[             ]</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jc w:val="both"/>
              <w:rPr>
                <w:sz w:val="20"/>
              </w:rPr>
            </w:pPr>
            <w:r>
              <w:rPr>
                <w:sz w:val="20"/>
              </w:rPr>
              <w:t>Termination Date:</w:t>
            </w:r>
          </w:p>
        </w:tc>
        <w:tc>
          <w:tcPr>
            <w:tcW w:w="6408" w:type="dxa"/>
            <w:gridSpan w:val="3"/>
            <w:tcBorders/>
          </w:tcPr>
          <w:p>
            <w:pPr>
              <w:pStyle w:val="Normal"/>
              <w:jc w:val="both"/>
              <w:rPr>
                <w:color w:val="FF0000"/>
                <w:sz w:val="20"/>
              </w:rPr>
            </w:pPr>
            <w:r>
              <w:rPr>
                <w:color w:val="FF0000"/>
                <w:sz w:val="20"/>
              </w:rPr>
              <w:t>[             ]</w:t>
            </w:r>
          </w:p>
        </w:tc>
      </w:tr>
      <w:tr>
        <w:trPr/>
        <w:tc>
          <w:tcPr>
            <w:tcW w:w="3168" w:type="dxa"/>
            <w:tcBorders/>
          </w:tcPr>
          <w:p>
            <w:pPr>
              <w:pStyle w:val="Normal"/>
              <w:snapToGrid w:val="false"/>
              <w:jc w:val="both"/>
              <w:rPr>
                <w:color w:val="FF0000"/>
                <w:sz w:val="20"/>
              </w:rPr>
            </w:pPr>
            <w:r>
              <w:rPr>
                <w:color w:val="FF0000"/>
                <w:sz w:val="20"/>
              </w:rPr>
            </w:r>
          </w:p>
          <w:p>
            <w:pPr>
              <w:pStyle w:val="Normal"/>
              <w:jc w:val="both"/>
              <w:rPr>
                <w:sz w:val="20"/>
              </w:rPr>
            </w:pPr>
            <w:r>
              <w:rPr>
                <w:sz w:val="20"/>
              </w:rPr>
              <w:t>Premium Payment Details:</w:t>
            </w:r>
          </w:p>
          <w:p>
            <w:pPr>
              <w:pStyle w:val="Normal"/>
              <w:jc w:val="both"/>
              <w:rPr>
                <w:sz w:val="20"/>
              </w:rPr>
            </w:pPr>
            <w:r>
              <w:rPr>
                <w:sz w:val="20"/>
              </w:rPr>
            </w:r>
          </w:p>
          <w:p>
            <w:pPr>
              <w:pStyle w:val="Normal"/>
              <w:jc w:val="both"/>
              <w:rPr>
                <w:sz w:val="20"/>
              </w:rPr>
            </w:pPr>
            <w:r>
              <w:rPr>
                <w:sz w:val="20"/>
              </w:rPr>
            </w:r>
          </w:p>
        </w:tc>
        <w:tc>
          <w:tcPr>
            <w:tcW w:w="6408" w:type="dxa"/>
            <w:gridSpan w:val="3"/>
            <w:tcBorders/>
          </w:tcPr>
          <w:p>
            <w:pPr>
              <w:pStyle w:val="Normal"/>
              <w:snapToGrid w:val="false"/>
              <w:jc w:val="both"/>
              <w:rPr>
                <w:color w:val="FF0000"/>
                <w:sz w:val="20"/>
              </w:rPr>
            </w:pPr>
            <w:r>
              <w:rPr>
                <w:color w:val="FF0000"/>
                <w:sz w:val="20"/>
              </w:rPr>
            </w:r>
          </w:p>
          <w:p>
            <w:pPr>
              <w:pStyle w:val="Normal"/>
              <w:jc w:val="both"/>
              <w:rPr/>
            </w:pPr>
            <w:r>
              <w:rPr>
                <w:color w:val="FF0000"/>
                <w:sz w:val="20"/>
              </w:rPr>
              <w:t xml:space="preserve">[ENA/Counterparty] </w:t>
            </w:r>
            <w:r>
              <w:rPr>
                <w:sz w:val="20"/>
              </w:rPr>
              <w:t xml:space="preserve">shall pay </w:t>
            </w:r>
            <w:r>
              <w:rPr>
                <w:color w:val="FF0000"/>
                <w:sz w:val="20"/>
              </w:rPr>
              <w:t xml:space="preserve">[ENA/Counterparty] $[             ] </w:t>
            </w:r>
            <w:r>
              <w:rPr>
                <w:sz w:val="20"/>
              </w:rPr>
              <w:t>two Business Days after this Confirmation has been duly executed by both parties</w:t>
            </w:r>
            <w:r>
              <w:rPr>
                <w:color w:val="FF0000"/>
                <w:sz w:val="20"/>
              </w:rPr>
              <w:t>.</w:t>
            </w:r>
          </w:p>
          <w:p>
            <w:pPr>
              <w:pStyle w:val="Normal"/>
              <w:jc w:val="both"/>
              <w:rPr>
                <w:color w:val="FF0000"/>
                <w:sz w:val="20"/>
              </w:rPr>
            </w:pPr>
            <w:r>
              <w:rPr>
                <w:color w:val="FF0000"/>
                <w:sz w:val="20"/>
              </w:rPr>
            </w:r>
          </w:p>
        </w:tc>
      </w:tr>
      <w:tr>
        <w:trPr/>
        <w:tc>
          <w:tcPr>
            <w:tcW w:w="3168" w:type="dxa"/>
            <w:tcBorders/>
          </w:tcPr>
          <w:p>
            <w:pPr>
              <w:pStyle w:val="Normal"/>
              <w:snapToGrid w:val="false"/>
              <w:jc w:val="both"/>
              <w:rPr>
                <w:color w:val="FF0000"/>
                <w:sz w:val="20"/>
              </w:rPr>
            </w:pPr>
            <w:r>
              <w:rPr>
                <w:color w:val="FF0000"/>
                <w:sz w:val="20"/>
              </w:rPr>
            </w:r>
          </w:p>
          <w:p>
            <w:pPr>
              <w:pStyle w:val="Normal"/>
              <w:jc w:val="both"/>
              <w:rPr>
                <w:sz w:val="20"/>
              </w:rPr>
            </w:pPr>
            <w:r>
              <w:rPr>
                <w:sz w:val="20"/>
              </w:rPr>
              <w:t>Calculation Period:</w:t>
            </w:r>
          </w:p>
        </w:tc>
        <w:tc>
          <w:tcPr>
            <w:tcW w:w="6408" w:type="dxa"/>
            <w:gridSpan w:val="3"/>
            <w:tcBorders/>
          </w:tcPr>
          <w:p>
            <w:pPr>
              <w:pStyle w:val="Normal"/>
              <w:snapToGrid w:val="false"/>
              <w:jc w:val="both"/>
              <w:rPr>
                <w:sz w:val="20"/>
              </w:rPr>
            </w:pPr>
            <w:r>
              <w:rPr>
                <w:sz w:val="20"/>
              </w:rPr>
            </w:r>
          </w:p>
          <w:p>
            <w:pPr>
              <w:pStyle w:val="Normal"/>
              <w:jc w:val="both"/>
              <w:rPr>
                <w:sz w:val="20"/>
              </w:rPr>
            </w:pPr>
            <w:r>
              <w:rPr>
                <w:sz w:val="20"/>
              </w:rPr>
              <w:t>The period from and including the Effective Date to and including the Termination Date.</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Payment Date(s):</w:t>
            </w:r>
          </w:p>
        </w:tc>
        <w:tc>
          <w:tcPr>
            <w:tcW w:w="6408" w:type="dxa"/>
            <w:gridSpan w:val="3"/>
            <w:tcBorders/>
          </w:tcPr>
          <w:p>
            <w:pPr>
              <w:pStyle w:val="Normal"/>
              <w:jc w:val="both"/>
              <w:rPr/>
            </w:pPr>
            <w:r>
              <w:rPr>
                <w:sz w:val="20"/>
              </w:rPr>
              <w:t>The fifth Business Day after the Floating Amount for the Calculation Period is determinable,</w:t>
            </w:r>
            <w:r>
              <w:rPr>
                <w:b/>
                <w:sz w:val="20"/>
              </w:rPr>
              <w:t xml:space="preserve"> provided, however,</w:t>
            </w:r>
            <w:r>
              <w:rPr>
                <w:sz w:val="20"/>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sz w:val="20"/>
              </w:rPr>
            </w:pPr>
            <w:r>
              <w:rPr>
                <w:sz w:val="20"/>
              </w:rPr>
            </w:r>
          </w:p>
        </w:tc>
      </w:tr>
      <w:tr>
        <w:trPr/>
        <w:tc>
          <w:tcPr>
            <w:tcW w:w="3168" w:type="dxa"/>
            <w:tcBorders/>
          </w:tcPr>
          <w:p>
            <w:pPr>
              <w:pStyle w:val="Normal"/>
              <w:jc w:val="both"/>
              <w:rPr>
                <w:sz w:val="20"/>
              </w:rPr>
            </w:pPr>
            <w:r>
              <w:rPr>
                <w:sz w:val="20"/>
              </w:rPr>
              <w:t>Fixed Amount Payer:</w:t>
            </w:r>
          </w:p>
          <w:p>
            <w:pPr>
              <w:pStyle w:val="Normal"/>
              <w:jc w:val="both"/>
              <w:rPr>
                <w:sz w:val="20"/>
              </w:rPr>
            </w:pPr>
            <w:r>
              <w:rPr>
                <w:sz w:val="20"/>
              </w:rPr>
              <w:t>(Buyer of the Option)</w:t>
            </w:r>
          </w:p>
        </w:tc>
        <w:tc>
          <w:tcPr>
            <w:tcW w:w="6408" w:type="dxa"/>
            <w:gridSpan w:val="3"/>
            <w:tcBorders/>
          </w:tcPr>
          <w:p>
            <w:pPr>
              <w:pStyle w:val="Normal"/>
              <w:jc w:val="both"/>
              <w:rPr>
                <w:color w:val="FF0000"/>
                <w:sz w:val="20"/>
              </w:rPr>
            </w:pPr>
            <w:r>
              <w:rPr>
                <w:color w:val="FF0000"/>
                <w:sz w:val="20"/>
              </w:rPr>
              <w:t>[ENA/Counterparty]</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 Payer:</w:t>
            </w:r>
          </w:p>
          <w:p>
            <w:pPr>
              <w:pStyle w:val="Normal"/>
              <w:jc w:val="both"/>
              <w:rPr>
                <w:sz w:val="20"/>
              </w:rPr>
            </w:pPr>
            <w:r>
              <w:rPr>
                <w:sz w:val="20"/>
              </w:rPr>
              <w:t>(Seller of the Option)</w:t>
            </w:r>
          </w:p>
        </w:tc>
        <w:tc>
          <w:tcPr>
            <w:tcW w:w="6408" w:type="dxa"/>
            <w:gridSpan w:val="3"/>
            <w:tcBorders/>
          </w:tcPr>
          <w:p>
            <w:pPr>
              <w:pStyle w:val="Normal"/>
              <w:jc w:val="both"/>
              <w:rPr>
                <w:color w:val="FF0000"/>
                <w:sz w:val="20"/>
              </w:rPr>
            </w:pPr>
            <w:r>
              <w:rPr>
                <w:color w:val="FF0000"/>
                <w:sz w:val="20"/>
              </w:rPr>
              <w:t>[ENA/Counterparty]</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Strike Amount:</w:t>
            </w:r>
          </w:p>
        </w:tc>
        <w:tc>
          <w:tcPr>
            <w:tcW w:w="6408" w:type="dxa"/>
            <w:gridSpan w:val="3"/>
            <w:tcBorders/>
          </w:tcPr>
          <w:p>
            <w:pPr>
              <w:pStyle w:val="Normal"/>
              <w:jc w:val="both"/>
              <w:rPr>
                <w:sz w:val="20"/>
              </w:rPr>
            </w:pPr>
            <w:r>
              <w:rPr>
                <w:color w:val="FF0000"/>
                <w:sz w:val="20"/>
              </w:rPr>
              <w:t>[             ]</w:t>
            </w:r>
            <w:r>
              <w:rPr>
                <w:color w:val="000000"/>
                <w:sz w:val="20"/>
              </w:rPr>
              <w:t xml:space="preserve"> HDD</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w:t>
            </w:r>
          </w:p>
        </w:tc>
        <w:tc>
          <w:tcPr>
            <w:tcW w:w="6408" w:type="dxa"/>
            <w:gridSpan w:val="3"/>
            <w:tcBorders/>
          </w:tcPr>
          <w:p>
            <w:pPr>
              <w:pStyle w:val="Normal"/>
              <w:jc w:val="both"/>
              <w:rPr>
                <w:sz w:val="20"/>
              </w:rPr>
            </w:pPr>
            <w:r>
              <w:rPr>
                <w:color w:val="000000"/>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sz w:val="20"/>
              </w:rPr>
            </w:pPr>
            <w:r>
              <w:rPr>
                <w:sz w:val="20"/>
              </w:rPr>
              <w:t>HDD for each day is equal to the greater of (i) 65 minus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or (ii) zero.  The daily high and low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sz w:val="20"/>
              </w:rPr>
            </w:pPr>
            <w:r>
              <w:rPr>
                <w:sz w:val="20"/>
              </w:rPr>
            </w:r>
          </w:p>
          <w:p>
            <w:pPr>
              <w:pStyle w:val="Normal"/>
              <w:jc w:val="both"/>
              <w:rPr>
                <w:sz w:val="20"/>
              </w:rPr>
            </w:pPr>
            <w:r>
              <w:rPr>
                <w:sz w:val="20"/>
              </w:rPr>
              <w:t>“</w:t>
            </w:r>
            <w:r>
              <w:rPr>
                <w:sz w:val="20"/>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gridSpan w:val="3"/>
            <w:tcBorders/>
          </w:tcPr>
          <w:p>
            <w:pPr>
              <w:pStyle w:val="Normal"/>
              <w:jc w:val="both"/>
              <w:rPr/>
            </w:pPr>
            <w:r>
              <w:rPr>
                <w:color w:val="FF0000"/>
                <w:sz w:val="20"/>
              </w:rPr>
              <w:t xml:space="preserve">[             ] [City, State] </w:t>
            </w:r>
            <w:r>
              <w:rPr>
                <w:color w:val="000000"/>
                <w:sz w:val="20"/>
              </w:rPr>
              <w:t xml:space="preserve">WBAN # </w:t>
            </w:r>
            <w:r>
              <w:rPr>
                <w:color w:val="FF0000"/>
                <w:sz w:val="20"/>
              </w:rPr>
              <w:t>[             ]</w:t>
            </w:r>
            <w:r>
              <w:rPr>
                <w:color w:val="000000"/>
                <w:sz w:val="20"/>
              </w:rPr>
              <w:t xml:space="preserve">, WMO # </w:t>
            </w:r>
            <w:r>
              <w:rPr>
                <w:color w:val="FF0000"/>
                <w:sz w:val="20"/>
              </w:rPr>
              <w:t>[             ]</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Fallback Reference Weather Station</w:t>
            </w:r>
          </w:p>
          <w:p>
            <w:pPr>
              <w:pStyle w:val="Normal"/>
              <w:jc w:val="both"/>
              <w:rPr>
                <w:sz w:val="20"/>
              </w:rPr>
            </w:pPr>
            <w:r>
              <w:rPr>
                <w:sz w:val="20"/>
              </w:rPr>
              <w:t>(“FRWS”):</w:t>
            </w:r>
          </w:p>
        </w:tc>
        <w:tc>
          <w:tcPr>
            <w:tcW w:w="6408" w:type="dxa"/>
            <w:gridSpan w:val="3"/>
            <w:tcBorders/>
          </w:tcPr>
          <w:p>
            <w:pPr>
              <w:pStyle w:val="Normal"/>
              <w:jc w:val="both"/>
              <w:rPr>
                <w:color w:val="000000"/>
                <w:sz w:val="20"/>
              </w:rPr>
            </w:pPr>
            <w:r>
              <w:rPr>
                <w:color w:val="000000"/>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sz w:val="20"/>
              </w:rPr>
            </w:pPr>
            <w:r>
              <w:rPr>
                <w:color w:val="000000"/>
                <w:sz w:val="20"/>
              </w:rPr>
            </w:r>
          </w:p>
          <w:p>
            <w:pPr>
              <w:pStyle w:val="Normal"/>
              <w:numPr>
                <w:ilvl w:val="0"/>
                <w:numId w:val="2"/>
              </w:numPr>
              <w:jc w:val="both"/>
              <w:rPr>
                <w:color w:val="000000"/>
                <w:sz w:val="20"/>
              </w:rPr>
            </w:pPr>
            <w:r>
              <w:rPr>
                <w:color w:val="000000"/>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sz w:val="20"/>
              </w:rPr>
            </w:pPr>
            <w:r>
              <w:rPr>
                <w:color w:val="000000"/>
                <w:sz w:val="20"/>
              </w:rPr>
              <w:t xml:space="preserve">in accordance with the above procedures, the daily maximum or daily minimum temperature as appropriate shall be determined for the corresponding day of each of the previous 30 years at the NWS Weather Station at </w:t>
            </w:r>
            <w:r>
              <w:rPr>
                <w:color w:val="FF0000"/>
                <w:sz w:val="20"/>
              </w:rPr>
              <w:t xml:space="preserve">[             ] [City, State] </w:t>
            </w:r>
            <w:r>
              <w:rPr>
                <w:color w:val="000000"/>
                <w:sz w:val="20"/>
              </w:rPr>
              <w:t xml:space="preserve">WBAN # </w:t>
            </w:r>
            <w:r>
              <w:rPr>
                <w:color w:val="FF0000"/>
                <w:sz w:val="20"/>
              </w:rPr>
              <w:t>[             ]</w:t>
            </w:r>
            <w:r>
              <w:rPr>
                <w:color w:val="000000"/>
                <w:sz w:val="20"/>
              </w:rPr>
              <w:t xml:space="preserve">, WMO # </w:t>
            </w:r>
            <w:r>
              <w:rPr>
                <w:color w:val="FF0000"/>
                <w:sz w:val="20"/>
              </w:rPr>
              <w:t>[             ]</w:t>
            </w:r>
            <w:r>
              <w:rPr>
                <w:color w:val="000000"/>
                <w:sz w:val="20"/>
              </w:rPr>
              <w:t xml:space="preserve"> (the “Fallback Reference Weather </w:t>
            </w:r>
            <w:r>
              <w:rPr>
                <w:sz w:val="20"/>
              </w:rPr>
              <w:t xml:space="preserve">Station”) </w:t>
            </w:r>
            <w:r>
              <w:rPr>
                <w:sz w:val="20"/>
                <w:lang w:eastAsia="en-US"/>
              </w:rPr>
              <w:t xml:space="preserve">or in the event such data is not available, from the closest geographical location that publishes NWS data for that period </w:t>
            </w:r>
            <w:r>
              <w:rPr>
                <w:color w:val="000000"/>
                <w:sz w:val="2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sz w:val="20"/>
              </w:rPr>
            </w:pPr>
            <w:r>
              <w:rPr>
                <w:color w:val="000000"/>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color w:val="000000"/>
                <w:sz w:val="2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sz w:val="20"/>
              </w:rPr>
            </w:pPr>
            <w:r>
              <w:rPr>
                <w:color w:val="000000"/>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sz w:val="20"/>
              </w:rPr>
            </w:pPr>
            <w:r>
              <w:rPr>
                <w:sz w:val="20"/>
              </w:rPr>
            </w:r>
          </w:p>
        </w:tc>
      </w:tr>
      <w:tr>
        <w:trPr/>
        <w:tc>
          <w:tcPr>
            <w:tcW w:w="3168" w:type="dxa"/>
            <w:tcBorders/>
          </w:tcPr>
          <w:p>
            <w:pPr>
              <w:pStyle w:val="Normal"/>
              <w:jc w:val="both"/>
              <w:rPr>
                <w:sz w:val="20"/>
              </w:rPr>
            </w:pPr>
            <w:r>
              <w:rPr>
                <w:sz w:val="20"/>
              </w:rPr>
              <w:t>Data Sources:</w:t>
            </w:r>
          </w:p>
        </w:tc>
        <w:tc>
          <w:tcPr>
            <w:tcW w:w="6408" w:type="dxa"/>
            <w:gridSpan w:val="3"/>
            <w:tcBorders/>
          </w:tcPr>
          <w:p>
            <w:pPr>
              <w:pStyle w:val="Normal"/>
              <w:spacing w:lineRule="atLeast" w:line="240"/>
              <w:jc w:val="both"/>
              <w:rPr/>
            </w:pPr>
            <w:r>
              <w:rPr>
                <w:color w:val="000000"/>
                <w:sz w:val="20"/>
                <w:lang w:eastAsia="en-US"/>
              </w:rPr>
              <w:t xml:space="preserve">The data used to determine the Floating Amount (and to the extent required, data for the FRWS) shall be obtained from the NCDC’s official website located at </w:t>
            </w:r>
            <w:r>
              <w:rPr>
                <w:color w:val="FF0000"/>
                <w:sz w:val="20"/>
                <w:lang w:eastAsia="en-US"/>
              </w:rPr>
              <w:t xml:space="preserve">http://www.nndc.noaa.gov, </w:t>
            </w:r>
            <w:r>
              <w:rPr>
                <w:color w:val="000000"/>
                <w:sz w:val="2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color w:val="FF0000"/>
                <w:sz w:val="20"/>
                <w:lang w:eastAsia="en-US"/>
              </w:rPr>
              <w:t>http://www4.ncdc.noaa.gov.</w:t>
            </w:r>
            <w:r>
              <w:rPr>
                <w:color w:val="000000"/>
                <w:sz w:val="2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color w:val="000000"/>
                <w:sz w:val="20"/>
                <w:lang w:eastAsia="en-US"/>
              </w:rPr>
            </w:pPr>
            <w:r>
              <w:rPr>
                <w:color w:val="000000"/>
                <w:sz w:val="20"/>
                <w:lang w:eastAsia="en-US"/>
              </w:rPr>
            </w:r>
          </w:p>
        </w:tc>
      </w:tr>
      <w:tr>
        <w:trPr/>
        <w:tc>
          <w:tcPr>
            <w:tcW w:w="3168" w:type="dxa"/>
            <w:tcBorders/>
          </w:tcPr>
          <w:p>
            <w:pPr>
              <w:pStyle w:val="Normal"/>
              <w:jc w:val="both"/>
              <w:rPr>
                <w:sz w:val="20"/>
              </w:rPr>
            </w:pPr>
            <w:r>
              <w:rPr>
                <w:sz w:val="20"/>
              </w:rPr>
              <w:t>Strike Amount Differential:</w:t>
            </w:r>
          </w:p>
        </w:tc>
        <w:tc>
          <w:tcPr>
            <w:tcW w:w="6408" w:type="dxa"/>
            <w:gridSpan w:val="3"/>
            <w:tcBorders/>
          </w:tcPr>
          <w:p>
            <w:pPr>
              <w:pStyle w:val="Normal"/>
              <w:jc w:val="both"/>
              <w:rPr>
                <w:sz w:val="20"/>
              </w:rPr>
            </w:pPr>
            <w:r>
              <w:rPr>
                <w:sz w:val="20"/>
              </w:rPr>
              <w:t>The amount equal to the excess (if a positive number) of (i) the Floating Amount over (ii) the Strike Amount</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snapToGrid w:val="false"/>
              <w:jc w:val="both"/>
              <w:rPr>
                <w:sz w:val="20"/>
              </w:rPr>
            </w:pPr>
            <w:r>
              <w:rPr>
                <w:sz w:val="20"/>
              </w:rPr>
            </w:r>
          </w:p>
          <w:p>
            <w:pPr>
              <w:pStyle w:val="Normal"/>
              <w:jc w:val="both"/>
              <w:rPr>
                <w:sz w:val="20"/>
              </w:rPr>
            </w:pPr>
            <w:r>
              <w:rPr>
                <w:sz w:val="20"/>
              </w:rPr>
            </w:r>
          </w:p>
          <w:p>
            <w:pPr>
              <w:pStyle w:val="Normal"/>
              <w:jc w:val="both"/>
              <w:rPr>
                <w:sz w:val="20"/>
              </w:rPr>
            </w:pPr>
            <w:r>
              <w:rPr>
                <w:sz w:val="20"/>
              </w:rPr>
              <w:t>Payment Amount:</w:t>
            </w:r>
          </w:p>
        </w:tc>
        <w:tc>
          <w:tcPr>
            <w:tcW w:w="6408" w:type="dxa"/>
            <w:gridSpan w:val="3"/>
            <w:tcBorders/>
          </w:tcPr>
          <w:p>
            <w:pPr>
              <w:pStyle w:val="Normal"/>
              <w:keepNext w:val="true"/>
              <w:keepLines/>
              <w:snapToGrid w:val="false"/>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b/>
                <w:sz w:val="20"/>
              </w:rPr>
              <w:t>provided, however</w:t>
            </w:r>
            <w:r>
              <w:rPr>
                <w:sz w:val="20"/>
              </w:rPr>
              <w:t>, that the maximum amount payable by the Floating Amount Payer shall not exceed $</w:t>
            </w:r>
            <w:r>
              <w:rPr>
                <w:color w:val="FF0000"/>
                <w:sz w:val="20"/>
              </w:rPr>
              <w:t>[             ].</w:t>
            </w:r>
          </w:p>
        </w:tc>
      </w:tr>
      <w:tr>
        <w:trPr/>
        <w:tc>
          <w:tcPr>
            <w:tcW w:w="4428" w:type="dxa"/>
            <w:gridSpan w:val="2"/>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Nations Bank of Texas,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BodyText3"/>
        <w:rPr/>
      </w:pPr>
      <w:r>
        <w:rPr/>
      </w:r>
      <w:r>
        <w:br w:type="page"/>
      </w:r>
    </w:p>
    <w:p>
      <w:pPr>
        <w:pStyle w:val="BodyText3"/>
        <w:rPr/>
      </w:pPr>
      <w:r>
        <w:rPr/>
      </w:r>
    </w:p>
    <w:p>
      <w:pPr>
        <w:pStyle w:val="Normal"/>
        <w:jc w:val="both"/>
        <w:rPr/>
      </w:pPr>
      <w:r>
        <w:rPr>
          <w:sz w:val="20"/>
        </w:rPr>
        <w:t xml:space="preserve">4.            </w:t>
      </w:r>
      <w:r>
        <w:rPr>
          <w:b/>
          <w:sz w:val="20"/>
          <w:u w:val="single"/>
        </w:rPr>
        <w:t>Representation.</w:t>
      </w:r>
      <w:r>
        <w:rPr>
          <w:b/>
          <w:sz w:val="20"/>
        </w:rPr>
        <w:t xml:space="preserve">  </w:t>
      </w:r>
      <w:r>
        <w:rPr>
          <w:sz w:val="20"/>
        </w:rPr>
        <w:t>ENA and Counterparty each represent that as of the Trade Date it is: (i) exposed in the conduct of its business to the risk of variations in temperature of the kind reflected in this Transaction and (ii) entering into this Transaction solely to offset or manage that risk.</w:t>
      </w:r>
    </w:p>
    <w:p>
      <w:pPr>
        <w:pStyle w:val="BodyText3"/>
        <w:rPr>
          <w:sz w:val="20"/>
        </w:rPr>
      </w:pPr>
      <w:r>
        <w:rPr>
          <w:sz w:val="20"/>
        </w:rPr>
      </w:r>
    </w:p>
    <w:p>
      <w:pPr>
        <w:pStyle w:val="BodyText3"/>
        <w:rPr/>
      </w:pPr>
      <w:r>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sz w:val="20"/>
        </w:rPr>
      </w:pPr>
      <w:r>
        <w:rPr>
          <w:color w:val="000000"/>
          <w:sz w:val="20"/>
        </w:rPr>
      </w:r>
    </w:p>
    <w:p>
      <w:pPr>
        <w:pStyle w:val="Normal"/>
        <w:jc w:val="both"/>
        <w:rPr/>
      </w:pPr>
      <w:r>
        <w:rPr>
          <w:sz w:val="20"/>
        </w:rPr>
        <w:t>Enron North America Corp</w:t>
      </w:r>
      <w:r>
        <w:rPr>
          <w:color w:val="000000"/>
          <w:sz w:val="20"/>
        </w:rPr>
        <w:t>.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0"/>
        </w:rPr>
      </w:pPr>
      <w:r>
        <w:rPr>
          <w:b/>
          <w:color w:val="000000"/>
          <w:sz w:val="20"/>
        </w:rPr>
        <w:t>ENRON NORTH AMERICA CORP.</w:t>
      </w:r>
    </w:p>
    <w:p>
      <w:pPr>
        <w:pStyle w:val="Normal"/>
        <w:keepNext w:val="true"/>
        <w:rPr>
          <w:b/>
          <w:color w:val="000000"/>
          <w:sz w:val="20"/>
        </w:rPr>
      </w:pPr>
      <w:r>
        <w:rPr>
          <w:b/>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t>Confirmed as of the Trade Date:</w:t>
      </w:r>
    </w:p>
    <w:p>
      <w:pPr>
        <w:pStyle w:val="Normal"/>
        <w:keepNext w:val="true"/>
        <w:rPr>
          <w:color w:val="000000"/>
          <w:sz w:val="20"/>
        </w:rPr>
      </w:pPr>
      <w:r>
        <w:rPr>
          <w:color w:val="000000"/>
          <w:sz w:val="20"/>
        </w:rPr>
      </w:r>
    </w:p>
    <w:p>
      <w:pPr>
        <w:pStyle w:val="Heading3"/>
        <w:ind w:start="0" w:end="0"/>
        <w:rPr>
          <w:rFonts w:ascii="Times New Roman" w:hAnsi="Times New Roman" w:cs="Times New Roman"/>
          <w:color w:val="000000"/>
          <w:sz w:val="20"/>
        </w:rPr>
      </w:pPr>
      <w:r>
        <w:rPr>
          <w:rFonts w:cs="Times New Roman" w:ascii="Times New Roman" w:hAnsi="Times New Roman"/>
          <w:color w:val="FF0000"/>
          <w:sz w:val="20"/>
        </w:rPr>
        <w:t>[CP NAME]</w:t>
      </w:r>
    </w:p>
    <w:p>
      <w:pPr>
        <w:pStyle w:val="Normal"/>
        <w:keepNext w:val="true"/>
        <w:rPr>
          <w:rFonts w:ascii="Times New Roman" w:hAnsi="Times New Roman" w:cs="Times New Roman"/>
          <w:color w:val="000000"/>
          <w:sz w:val="20"/>
        </w:rPr>
      </w:pPr>
      <w:r>
        <w:rPr>
          <w:rFonts w:cs="Times New Roman"/>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BodyText"/>
        <w:rPr>
          <w:color w:val="000000"/>
          <w:sz w:val="20"/>
        </w:rPr>
      </w:pPr>
      <w:r>
        <w:rPr>
          <w:color w:val="000000"/>
          <w:sz w:val="20"/>
        </w:rPr>
      </w:r>
    </w:p>
    <w:sectPr>
      <w:headerReference w:type="default" r:id="rId3"/>
      <w:headerReference w:type="first" r:id="rId4"/>
      <w:footerReference w:type="default" r:id="rId5"/>
      <w:footerReference w:type="first" r:id="rId6"/>
      <w:type w:val="nextPage"/>
      <w:pgSz w:w="12240" w:h="15840"/>
      <w:pgMar w:left="1440" w:right="1440" w:gutter="0" w:header="720" w:top="81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Cap Option (Version 9.20.99)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Cap Option (Version 9.20.99)</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16"/>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ab/>
      <w:tab/>
    </w:r>
    <w:r>
      <w:rPr>
        <w:b/>
        <w:color w:val="000000"/>
        <w:sz w:val="20"/>
      </w:rPr>
      <w:t xml:space="preserve">Contract No. </w:t>
    </w:r>
    <w:r>
      <w:rPr>
        <w:b/>
        <w:color w:val="FF0000"/>
        <w:sz w:val="20"/>
      </w:rPr>
      <w:t>[             ]</w:t>
    </w:r>
  </w:p>
  <w:p>
    <w:pPr>
      <w:pStyle w:val="Header"/>
      <w:rPr>
        <w:rStyle w:val="PageNumber"/>
        <w:sz w:val="16"/>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color w:val="000000"/>
        <w:sz w:val="20"/>
      </w:rPr>
      <w:t xml:space="preserve">Contract No. </w:t>
    </w:r>
    <w:r>
      <w:rPr>
        <w:b/>
        <w:color w:val="FF0000"/>
        <w:sz w:val="20"/>
      </w:rPr>
      <w: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970" w:start="3600" w:end="0"/>
      <w:jc w:val="both"/>
    </w:pPr>
    <w:rPr>
      <w:sz w:val="20"/>
    </w:rPr>
  </w:style>
  <w:style w:type="paragraph" w:styleId="BodyTextIndent2">
    <w:name w:val="Body Text Indent 2"/>
    <w:basedOn w:val="Normal"/>
    <w:qFormat/>
    <w:pPr>
      <w:ind w:hanging="3690" w:start="3690" w:end="0"/>
    </w:pPr>
    <w:rPr>
      <w:sz w:val="20"/>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both"/>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1999-02-08T17:50:00Z</dcterms:created>
  <dc:creator>appinst</dc:creator>
  <dc:description/>
  <dc:language>en-CA</dc:language>
  <cp:lastModifiedBy>Lucy Ortiz</cp:lastModifiedBy>
  <cp:lastPrinted>1999-09-17T11:46:00Z</cp:lastPrinted>
  <dcterms:modified xsi:type="dcterms:W3CDTF">1999-10-04T18:07:00Z</dcterms:modified>
  <cp:revision>25</cp:revision>
  <dc:subject/>
  <dc:title> </dc:title>
</cp:coreProperties>
</file>