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b w:val="false"/>
        </w:rPr>
      </w:pPr>
      <w:r>
        <w:rPr>
          <w:b w:val="false"/>
        </w:rPr>
      </w:r>
    </w:p>
    <w:p>
      <w:pPr>
        <w:pStyle w:val="Heading1"/>
        <w:ind w:hanging="0" w:start="0"/>
        <w:rPr/>
      </w:pPr>
      <w:r>
        <w:rPr/>
        <w:t>CAPACITY TRADING EQUITY OFFERING</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STRUCTURAL OVERVIEW</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Heading2"/>
        <w:numPr>
          <w:ilvl w:val="0"/>
          <w:numId w:val="3"/>
        </w:numPr>
        <w:tabs>
          <w:tab w:val="clear" w:pos="720"/>
          <w:tab w:val="left" w:pos="450" w:leader="none"/>
        </w:tabs>
        <w:ind w:hanging="90" w:start="90" w:end="0"/>
        <w:rPr/>
      </w:pPr>
      <w:r>
        <w:rPr/>
        <w:t>Summary</w:t>
      </w:r>
    </w:p>
    <w:p>
      <w:pPr>
        <w:pStyle w:val="Normal"/>
        <w:rPr>
          <w:rFonts w:ascii="Arial" w:hAnsi="Arial" w:cs="Arial"/>
          <w:b/>
        </w:rPr>
      </w:pPr>
      <w:r>
        <w:rPr>
          <w:rFonts w:cs="Arial" w:ascii="Arial" w:hAnsi="Arial"/>
          <w:b/>
        </w:rPr>
      </w:r>
    </w:p>
    <w:p>
      <w:pPr>
        <w:pStyle w:val="Normal"/>
        <w:numPr>
          <w:ilvl w:val="0"/>
          <w:numId w:val="5"/>
        </w:numPr>
        <w:rPr>
          <w:rFonts w:ascii="Arial" w:hAnsi="Arial" w:cs="Arial"/>
          <w:b/>
        </w:rPr>
      </w:pPr>
      <w:r>
        <w:rPr>
          <w:rFonts w:cs="Arial" w:ascii="Arial" w:hAnsi="Arial"/>
        </w:rPr>
        <w:t>A limited Liability Company (CapTrade Limited) will be created for the purpose of providing online trading capability for multiple parties to transact on gas pipeline capacity and related products and services.</w:t>
      </w:r>
    </w:p>
    <w:p>
      <w:pPr>
        <w:pStyle w:val="Normal"/>
        <w:numPr>
          <w:ilvl w:val="0"/>
          <w:numId w:val="5"/>
        </w:numPr>
        <w:rPr>
          <w:rFonts w:ascii="Arial" w:hAnsi="Arial" w:cs="Arial"/>
          <w:b/>
        </w:rPr>
      </w:pPr>
      <w:r>
        <w:rPr>
          <w:rFonts w:cs="Arial" w:ascii="Arial" w:hAnsi="Arial"/>
        </w:rPr>
        <w:t xml:space="preserve">A holding company, Capacity Trading Investment Partnership (CTIP), will be created. CTIP will own CapTrade Limited. Shares in this company will be owned in equal parts by each of six founding companies and Enron Net Works. The purpose of this company will be to provide a vehicle for the ownership and financing of CapTrade. </w:t>
      </w:r>
    </w:p>
    <w:p>
      <w:pPr>
        <w:pStyle w:val="Normal"/>
        <w:numPr>
          <w:ilvl w:val="0"/>
          <w:numId w:val="5"/>
        </w:numPr>
        <w:rPr>
          <w:rFonts w:ascii="Arial" w:hAnsi="Arial" w:cs="Arial"/>
          <w:b/>
        </w:rPr>
      </w:pPr>
      <w:r>
        <w:rPr>
          <w:rFonts w:cs="Arial" w:ascii="Arial" w:hAnsi="Arial"/>
        </w:rPr>
        <w:t>CTIP founding members will be Limited Partners (LP).</w:t>
      </w:r>
    </w:p>
    <w:p>
      <w:pPr>
        <w:pStyle w:val="Normal"/>
        <w:numPr>
          <w:ilvl w:val="0"/>
          <w:numId w:val="5"/>
        </w:numPr>
        <w:rPr>
          <w:rFonts w:ascii="Arial" w:hAnsi="Arial" w:cs="Arial"/>
          <w:b/>
        </w:rPr>
      </w:pPr>
      <w:r>
        <w:rPr>
          <w:rFonts w:cs="Arial" w:ascii="Arial" w:hAnsi="Arial"/>
        </w:rPr>
        <w:t>Enron Net Works will be General Partner (GP).</w:t>
      </w:r>
    </w:p>
    <w:p>
      <w:pPr>
        <w:pStyle w:val="Normal"/>
        <w:numPr>
          <w:ilvl w:val="0"/>
          <w:numId w:val="5"/>
        </w:numPr>
        <w:rPr>
          <w:rFonts w:ascii="Arial" w:hAnsi="Arial" w:cs="Arial"/>
          <w:b/>
        </w:rPr>
      </w:pPr>
      <w:r>
        <w:rPr>
          <w:rFonts w:cs="Arial" w:ascii="Arial" w:hAnsi="Arial"/>
        </w:rPr>
        <w:t>Enron Net Works will license software and provide services to CapTrade.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CapTrade Limited</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rPr>
        <w:t>Will be the operating company for the provision of capacity trading functionality to the marketplace.</w:t>
      </w:r>
    </w:p>
    <w:p>
      <w:pPr>
        <w:pStyle w:val="Normal"/>
        <w:numPr>
          <w:ilvl w:val="0"/>
          <w:numId w:val="4"/>
        </w:numPr>
        <w:rPr>
          <w:rFonts w:ascii="Arial" w:hAnsi="Arial" w:cs="Arial"/>
          <w:b/>
        </w:rPr>
      </w:pPr>
      <w:r>
        <w:rPr>
          <w:rFonts w:cs="Arial" w:ascii="Arial" w:hAnsi="Arial"/>
        </w:rPr>
        <w:t>Will license the necessary software from Enron Net Works.</w:t>
      </w:r>
    </w:p>
    <w:p>
      <w:pPr>
        <w:pStyle w:val="Normal"/>
        <w:numPr>
          <w:ilvl w:val="0"/>
          <w:numId w:val="4"/>
        </w:numPr>
        <w:rPr>
          <w:rFonts w:ascii="Arial" w:hAnsi="Arial" w:cs="Arial"/>
          <w:b/>
        </w:rPr>
      </w:pPr>
      <w:r>
        <w:rPr>
          <w:rFonts w:cs="Arial" w:ascii="Arial" w:hAnsi="Arial"/>
        </w:rPr>
        <w:t>Will charge a commission for all transactions [commission to be determined].</w:t>
      </w:r>
    </w:p>
    <w:p>
      <w:pPr>
        <w:pStyle w:val="Normal"/>
        <w:numPr>
          <w:ilvl w:val="0"/>
          <w:numId w:val="4"/>
        </w:numPr>
        <w:rPr>
          <w:rFonts w:ascii="Arial" w:hAnsi="Arial" w:cs="Arial"/>
          <w:b/>
        </w:rPr>
      </w:pPr>
      <w:r>
        <w:rPr>
          <w:rFonts w:cs="Arial" w:ascii="Arial" w:hAnsi="Arial"/>
        </w:rPr>
        <w:t>Will pay O&amp;M Fees ([$750,000 per year]) to Enron Net Works. O&amp;M Fee will cover mid and back-office costs as well as variable costs.</w:t>
      </w:r>
    </w:p>
    <w:p>
      <w:pPr>
        <w:pStyle w:val="Normal"/>
        <w:numPr>
          <w:ilvl w:val="0"/>
          <w:numId w:val="4"/>
        </w:numPr>
        <w:rPr>
          <w:rFonts w:ascii="Arial" w:hAnsi="Arial" w:cs="Arial"/>
          <w:b/>
        </w:rPr>
      </w:pPr>
      <w:r>
        <w:rPr>
          <w:rFonts w:cs="Arial" w:ascii="Arial" w:hAnsi="Arial"/>
        </w:rPr>
        <w:t>Will pay [60%] of commission fees to Enron Net Works.</w:t>
      </w:r>
    </w:p>
    <w:p>
      <w:pPr>
        <w:pStyle w:val="Normal"/>
        <w:numPr>
          <w:ilvl w:val="0"/>
          <w:numId w:val="4"/>
        </w:numPr>
        <w:rPr>
          <w:rFonts w:ascii="Arial" w:hAnsi="Arial" w:cs="Arial"/>
          <w:b/>
        </w:rPr>
      </w:pPr>
      <w:r>
        <w:rPr>
          <w:rFonts w:cs="Arial" w:ascii="Arial" w:hAnsi="Arial"/>
        </w:rPr>
        <w:t>Will remit net profits to CTIP.</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Capacity Trading Investment Partnership (CTIP)</w:t>
      </w:r>
    </w:p>
    <w:p>
      <w:pPr>
        <w:pStyle w:val="Normal"/>
        <w:rPr/>
      </w:pPr>
      <w:r>
        <w:rPr/>
      </w:r>
    </w:p>
    <w:p>
      <w:pPr>
        <w:pStyle w:val="Normal"/>
        <w:numPr>
          <w:ilvl w:val="0"/>
          <w:numId w:val="6"/>
        </w:numPr>
        <w:rPr/>
      </w:pPr>
      <w:r>
        <w:rPr>
          <w:rFonts w:cs="Arial" w:ascii="Arial" w:hAnsi="Arial"/>
        </w:rPr>
        <w:t>Will contain [6] founding members as Limited Partners, plus Enron Net Works as General Partner</w:t>
      </w:r>
    </w:p>
    <w:p>
      <w:pPr>
        <w:pStyle w:val="Normal"/>
        <w:numPr>
          <w:ilvl w:val="0"/>
          <w:numId w:val="6"/>
        </w:numPr>
        <w:rPr/>
      </w:pPr>
      <w:r>
        <w:rPr>
          <w:rFonts w:cs="Arial" w:ascii="Arial" w:hAnsi="Arial"/>
        </w:rPr>
        <w:t>Each member shall own [100] shares</w:t>
      </w:r>
    </w:p>
    <w:p>
      <w:pPr>
        <w:pStyle w:val="Normal"/>
        <w:numPr>
          <w:ilvl w:val="0"/>
          <w:numId w:val="6"/>
        </w:numPr>
        <w:rPr/>
      </w:pPr>
      <w:r>
        <w:rPr>
          <w:rFonts w:cs="Arial" w:ascii="Arial" w:hAnsi="Arial"/>
        </w:rPr>
        <w:t>Will issue [600] shares</w:t>
      </w:r>
    </w:p>
    <w:p>
      <w:pPr>
        <w:pStyle w:val="Normal"/>
        <w:numPr>
          <w:ilvl w:val="0"/>
          <w:numId w:val="6"/>
        </w:numPr>
        <w:rPr/>
      </w:pPr>
      <w:r>
        <w:rPr>
          <w:rFonts w:cs="Arial" w:ascii="Arial" w:hAnsi="Arial"/>
        </w:rPr>
        <w:t>Each share shall be purchased for [US$40,00] by the Limited Partners.</w:t>
      </w:r>
    </w:p>
    <w:p>
      <w:pPr>
        <w:pStyle w:val="Normal"/>
        <w:numPr>
          <w:ilvl w:val="0"/>
          <w:numId w:val="6"/>
        </w:numPr>
        <w:rPr/>
      </w:pPr>
      <w:r>
        <w:rPr>
          <w:rFonts w:cs="Arial" w:ascii="Arial" w:hAnsi="Arial"/>
        </w:rPr>
        <w:t>Shall provide financing as necessary to CapTrade.</w:t>
      </w:r>
    </w:p>
    <w:p>
      <w:pPr>
        <w:pStyle w:val="Normal"/>
        <w:numPr>
          <w:ilvl w:val="0"/>
          <w:numId w:val="6"/>
        </w:numPr>
        <w:rPr/>
      </w:pPr>
      <w:r>
        <w:rPr>
          <w:rFonts w:cs="Arial" w:ascii="Arial" w:hAnsi="Arial"/>
        </w:rPr>
        <w:t>Will own CapTrade.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Enron Net Works</w:t>
      </w:r>
    </w:p>
    <w:p>
      <w:pPr>
        <w:pStyle w:val="Normal"/>
        <w:rPr/>
      </w:pPr>
      <w:r>
        <w:rPr/>
      </w:r>
    </w:p>
    <w:p>
      <w:pPr>
        <w:pStyle w:val="Normal"/>
        <w:numPr>
          <w:ilvl w:val="0"/>
          <w:numId w:val="7"/>
        </w:numPr>
        <w:rPr>
          <w:rFonts w:ascii="Arial" w:hAnsi="Arial" w:cs="Arial"/>
        </w:rPr>
      </w:pPr>
      <w:r>
        <w:rPr>
          <w:rFonts w:cs="Arial" w:ascii="Arial" w:hAnsi="Arial"/>
        </w:rPr>
        <w:t>Will host the online application.</w:t>
      </w:r>
    </w:p>
    <w:p>
      <w:pPr>
        <w:pStyle w:val="Normal"/>
        <w:numPr>
          <w:ilvl w:val="0"/>
          <w:numId w:val="7"/>
        </w:numPr>
        <w:rPr>
          <w:rFonts w:ascii="Arial" w:hAnsi="Arial" w:cs="Arial"/>
        </w:rPr>
      </w:pPr>
      <w:r>
        <w:rPr>
          <w:rFonts w:cs="Arial" w:ascii="Arial" w:hAnsi="Arial"/>
        </w:rPr>
        <w:t xml:space="preserve">In exchange for the O&amp;M fees, will provide 1) ongoing operational and maintenance services, and 2) management expertise related to the operation of the software and the delivery of capacity trading services to the marketplace. </w:t>
      </w:r>
    </w:p>
    <w:p>
      <w:pPr>
        <w:pStyle w:val="Normal"/>
        <w:numPr>
          <w:ilvl w:val="0"/>
          <w:numId w:val="7"/>
        </w:numPr>
        <w:rPr>
          <w:rFonts w:ascii="Arial" w:hAnsi="Arial" w:cs="Arial"/>
        </w:rPr>
      </w:pPr>
      <w:r>
        <w:rPr>
          <w:rFonts w:cs="Arial" w:ascii="Arial" w:hAnsi="Arial"/>
        </w:rPr>
        <w:t>Will develop the Capacity Trading Software (CTS) for CapTrade and will provide a license for its use to CapTrade.</w:t>
      </w:r>
    </w:p>
    <w:p>
      <w:pPr>
        <w:pStyle w:val="Normal"/>
        <w:numPr>
          <w:ilvl w:val="0"/>
          <w:numId w:val="7"/>
        </w:numPr>
        <w:rPr>
          <w:rFonts w:ascii="Arial" w:hAnsi="Arial" w:cs="Arial"/>
        </w:rPr>
      </w:pPr>
      <w:r>
        <w:rPr>
          <w:rFonts w:cs="Arial" w:ascii="Arial" w:hAnsi="Arial"/>
        </w:rPr>
        <w:t>Will provide the server hardware necessary to 1) run CTS and 2) host CapTrade.</w:t>
      </w:r>
    </w:p>
    <w:p>
      <w:pPr>
        <w:pStyle w:val="Normal"/>
        <w:numPr>
          <w:ilvl w:val="0"/>
          <w:numId w:val="8"/>
        </w:numPr>
        <w:rPr>
          <w:rFonts w:ascii="Arial" w:hAnsi="Arial" w:cs="Arial"/>
        </w:rPr>
      </w:pPr>
      <w:r>
        <w:rPr>
          <w:rFonts w:cs="Arial" w:ascii="Arial" w:hAnsi="Arial"/>
        </w:rPr>
        <w:t>Shall receive, in exchange for a [10-year] license to CapTrade of the CTS, 100 shares of CTIP.</w:t>
      </w:r>
    </w:p>
    <w:p>
      <w:pPr>
        <w:pStyle w:val="Normal"/>
        <w:numPr>
          <w:ilvl w:val="0"/>
          <w:numId w:val="8"/>
        </w:numPr>
        <w:rPr>
          <w:rFonts w:ascii="Arial" w:hAnsi="Arial" w:cs="Arial"/>
        </w:rPr>
      </w:pPr>
      <w:r>
        <w:rPr>
          <w:rFonts w:eastAsia="Arial" w:cs="Arial" w:ascii="Arial" w:hAnsi="Arial"/>
        </w:rPr>
        <w:t xml:space="preserve"> </w:t>
      </w:r>
      <w:r>
        <w:rPr>
          <w:rFonts w:cs="Arial" w:ascii="Arial" w:hAnsi="Arial"/>
        </w:rPr>
        <w:t>Shall provide access (a link) to CTS from within EnronOnline.</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Capacity Trading Software (CTS)</w:t>
      </w:r>
    </w:p>
    <w:p>
      <w:pPr>
        <w:pStyle w:val="Normal"/>
        <w:rPr/>
      </w:pPr>
      <w:r>
        <w:rPr/>
      </w:r>
    </w:p>
    <w:p>
      <w:pPr>
        <w:pStyle w:val="Normal"/>
        <w:numPr>
          <w:ilvl w:val="0"/>
          <w:numId w:val="2"/>
        </w:numPr>
        <w:rPr/>
      </w:pPr>
      <w:r>
        <w:rPr>
          <w:rFonts w:cs="Arial" w:ascii="Arial" w:hAnsi="Arial"/>
        </w:rPr>
        <w:t>Shall facilitate binding transactions on primary capacity and storage products over the Internet.</w:t>
      </w:r>
    </w:p>
    <w:p>
      <w:pPr>
        <w:pStyle w:val="Normal"/>
        <w:numPr>
          <w:ilvl w:val="0"/>
          <w:numId w:val="2"/>
        </w:numPr>
        <w:rPr/>
      </w:pPr>
      <w:r>
        <w:rPr>
          <w:rFonts w:cs="Arial" w:ascii="Arial" w:hAnsi="Arial"/>
        </w:rPr>
        <w:t>Shall support multiple buyers and sellers.</w:t>
      </w:r>
    </w:p>
    <w:p>
      <w:pPr>
        <w:pStyle w:val="Normal"/>
        <w:numPr>
          <w:ilvl w:val="0"/>
          <w:numId w:val="2"/>
        </w:numPr>
        <w:rPr/>
      </w:pPr>
      <w:r>
        <w:rPr>
          <w:rFonts w:cs="Arial" w:ascii="Arial" w:hAnsi="Arial"/>
        </w:rPr>
        <w:t>Shall provide for the ability to add other capacity products as required (e.g. secondary capacity, imbalances).</w:t>
      </w:r>
    </w:p>
    <w:p>
      <w:pPr>
        <w:pStyle w:val="Normal"/>
        <w:numPr>
          <w:ilvl w:val="0"/>
          <w:numId w:val="2"/>
        </w:numPr>
        <w:rPr/>
      </w:pPr>
      <w:r>
        <w:rPr>
          <w:rFonts w:cs="Arial" w:ascii="Arial" w:hAnsi="Arial"/>
        </w:rPr>
        <w:t xml:space="preserve">Shall provide functionality which is similar to the functionality described in </w:t>
      </w:r>
      <w:r>
        <w:rPr>
          <w:rFonts w:cs="Arial" w:ascii="Arial" w:hAnsi="Arial"/>
          <w:b/>
          <w:i/>
        </w:rPr>
        <w:t xml:space="preserve">Attachment A </w:t>
      </w:r>
      <w:r>
        <w:rPr>
          <w:rFonts w:cs="Arial" w:ascii="Arial" w:hAnsi="Arial"/>
        </w:rPr>
        <w:t>(Capacity Trading System Functional Specifications).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360" w:start="360" w:end="0"/>
        <w:rPr/>
      </w:pPr>
      <w:r>
        <w:rPr/>
        <w:t>Founding Members of CTIP</w:t>
      </w:r>
    </w:p>
    <w:p>
      <w:pPr>
        <w:pStyle w:val="Normal"/>
        <w:rPr>
          <w:rFonts w:ascii="Arial" w:hAnsi="Arial" w:cs="Arial"/>
        </w:rPr>
      </w:pPr>
      <w:r>
        <w:rPr>
          <w:rFonts w:cs="Arial" w:ascii="Arial" w:hAnsi="Arial"/>
        </w:rPr>
      </w:r>
    </w:p>
    <w:p>
      <w:pPr>
        <w:pStyle w:val="Normal"/>
        <w:numPr>
          <w:ilvl w:val="0"/>
          <w:numId w:val="10"/>
        </w:numPr>
        <w:rPr/>
      </w:pPr>
      <w:r>
        <w:rPr>
          <w:rFonts w:cs="Arial" w:ascii="Arial" w:hAnsi="Arial"/>
        </w:rPr>
        <w:t>Shall commit to posting all online offerings of capacity or capacity related products with CapTrade.</w:t>
      </w:r>
    </w:p>
    <w:p>
      <w:pPr>
        <w:pStyle w:val="Normal"/>
        <w:numPr>
          <w:ilvl w:val="0"/>
          <w:numId w:val="10"/>
        </w:numPr>
        <w:rPr/>
      </w:pPr>
      <w:r>
        <w:rPr>
          <w:rFonts w:cs="Arial" w:ascii="Arial" w:hAnsi="Arial"/>
        </w:rPr>
        <w:t>Shall not offer online transactions (or invite to treat) for capacity or capacity related products on any system which is not also offered (or displayed as invitation to treat) by such founding member on CapTrade, to the extent that CapTrade is capable of displaying such offer.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Required Contracts and Documentation</w:t>
      </w:r>
    </w:p>
    <w:p>
      <w:pPr>
        <w:pStyle w:val="Normal"/>
        <w:rPr/>
      </w:pPr>
      <w:r>
        <w:rPr/>
      </w:r>
    </w:p>
    <w:p>
      <w:pPr>
        <w:pStyle w:val="Normal"/>
        <w:numPr>
          <w:ilvl w:val="0"/>
          <w:numId w:val="11"/>
        </w:numPr>
        <w:rPr>
          <w:rFonts w:ascii="Arial" w:hAnsi="Arial" w:cs="Arial"/>
        </w:rPr>
      </w:pPr>
      <w:r>
        <w:rPr>
          <w:rFonts w:cs="Arial" w:ascii="Arial" w:hAnsi="Arial"/>
        </w:rPr>
        <w:t>Articles of incorporation for CTIP and CapTrade</w:t>
      </w:r>
    </w:p>
    <w:p>
      <w:pPr>
        <w:pStyle w:val="Normal"/>
        <w:numPr>
          <w:ilvl w:val="0"/>
          <w:numId w:val="11"/>
        </w:numPr>
        <w:rPr>
          <w:rFonts w:ascii="Arial" w:hAnsi="Arial" w:cs="Arial"/>
        </w:rPr>
      </w:pPr>
      <w:r>
        <w:rPr>
          <w:rFonts w:cs="Arial" w:ascii="Arial" w:hAnsi="Arial"/>
        </w:rPr>
        <w:t>Share Purchase Agreements with founding Members of CTIP</w:t>
      </w:r>
    </w:p>
    <w:p>
      <w:pPr>
        <w:pStyle w:val="Normal"/>
        <w:numPr>
          <w:ilvl w:val="0"/>
          <w:numId w:val="11"/>
        </w:numPr>
        <w:rPr>
          <w:rFonts w:ascii="Arial" w:hAnsi="Arial" w:cs="Arial"/>
        </w:rPr>
      </w:pPr>
      <w:r>
        <w:rPr>
          <w:rFonts w:cs="Arial" w:ascii="Arial" w:hAnsi="Arial"/>
        </w:rPr>
        <w:t>Services Agreement between CapTrade and ENW</w:t>
      </w:r>
    </w:p>
    <w:p>
      <w:pPr>
        <w:pStyle w:val="Normal"/>
        <w:numPr>
          <w:ilvl w:val="0"/>
          <w:numId w:val="11"/>
        </w:numPr>
        <w:rPr>
          <w:rFonts w:ascii="Arial" w:hAnsi="Arial" w:cs="Arial"/>
        </w:rPr>
      </w:pPr>
      <w:r>
        <w:rPr>
          <w:rFonts w:cs="Arial" w:ascii="Arial" w:hAnsi="Arial"/>
        </w:rPr>
        <w:t>Software Licensing Agreement between CapTrade and ENW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Founding Members Candidates</w:t>
      </w:r>
    </w:p>
    <w:p>
      <w:pPr>
        <w:pStyle w:val="Normal"/>
        <w:rPr/>
      </w:pPr>
      <w:r>
        <w:rPr/>
      </w:r>
    </w:p>
    <w:p>
      <w:pPr>
        <w:pStyle w:val="Normal"/>
        <w:numPr>
          <w:ilvl w:val="0"/>
          <w:numId w:val="9"/>
        </w:numPr>
        <w:rPr>
          <w:rFonts w:ascii="Arial" w:hAnsi="Arial" w:cs="Arial"/>
        </w:rPr>
      </w:pPr>
      <w:r>
        <w:rPr>
          <w:rFonts w:cs="Arial" w:ascii="Arial" w:hAnsi="Arial"/>
        </w:rPr>
        <w:t>Northern Natural Gas</w:t>
      </w:r>
    </w:p>
    <w:p>
      <w:pPr>
        <w:pStyle w:val="Normal"/>
        <w:numPr>
          <w:ilvl w:val="0"/>
          <w:numId w:val="9"/>
        </w:numPr>
        <w:rPr/>
      </w:pPr>
      <w:r>
        <w:rPr>
          <w:rFonts w:cs="Arial" w:ascii="Arial" w:hAnsi="Arial"/>
        </w:rPr>
        <w:t>Houston Pipelines Company</w:t>
      </w:r>
    </w:p>
    <w:p>
      <w:pPr>
        <w:pStyle w:val="Normal"/>
        <w:numPr>
          <w:ilvl w:val="0"/>
          <w:numId w:val="9"/>
        </w:numPr>
        <w:rPr/>
      </w:pPr>
      <w:r>
        <w:rPr>
          <w:rFonts w:cs="Arial" w:ascii="Arial" w:hAnsi="Arial"/>
        </w:rPr>
        <w:t>Transwestern Natural Gas</w:t>
      </w:r>
    </w:p>
    <w:p>
      <w:pPr>
        <w:pStyle w:val="Normal"/>
        <w:numPr>
          <w:ilvl w:val="0"/>
          <w:numId w:val="9"/>
        </w:numPr>
        <w:rPr/>
      </w:pPr>
      <w:r>
        <w:rPr>
          <w:rFonts w:cs="Arial" w:ascii="Arial" w:hAnsi="Arial"/>
        </w:rPr>
        <w:t>Natural Gas Pipelines Limited</w:t>
      </w:r>
    </w:p>
    <w:p>
      <w:pPr>
        <w:pStyle w:val="Normal"/>
        <w:numPr>
          <w:ilvl w:val="0"/>
          <w:numId w:val="9"/>
        </w:numPr>
        <w:rPr/>
      </w:pPr>
      <w:r>
        <w:rPr>
          <w:rFonts w:cs="Arial" w:ascii="Arial" w:hAnsi="Arial"/>
        </w:rPr>
        <w:t>Florida Gas Pipeline</w:t>
      </w:r>
    </w:p>
    <w:p>
      <w:pPr>
        <w:pStyle w:val="Normal"/>
        <w:numPr>
          <w:ilvl w:val="0"/>
          <w:numId w:val="9"/>
        </w:numPr>
        <w:rPr/>
      </w:pPr>
      <w:r>
        <w:rPr>
          <w:rFonts w:cs="Arial" w:ascii="Arial" w:hAnsi="Arial"/>
        </w:rPr>
        <w:t>Williams</w:t>
      </w:r>
    </w:p>
    <w:p>
      <w:pPr>
        <w:pStyle w:val="Normal"/>
        <w:numPr>
          <w:ilvl w:val="0"/>
          <w:numId w:val="9"/>
        </w:numPr>
        <w:rPr/>
      </w:pPr>
      <w:r>
        <w:rPr>
          <w:rFonts w:cs="Arial" w:ascii="Arial" w:hAnsi="Arial"/>
        </w:rPr>
        <w:t>Duke</w:t>
      </w:r>
    </w:p>
    <w:p>
      <w:pPr>
        <w:pStyle w:val="Normal"/>
        <w:numPr>
          <w:ilvl w:val="0"/>
          <w:numId w:val="9"/>
        </w:numPr>
        <w:rPr/>
      </w:pPr>
      <w:r>
        <w:rPr>
          <w:rFonts w:cs="Arial" w:ascii="Arial" w:hAnsi="Arial"/>
        </w:rPr>
        <w:t>Columbia</w:t>
      </w:r>
    </w:p>
    <w:p>
      <w:pPr>
        <w:pStyle w:val="Normal"/>
        <w:numPr>
          <w:ilvl w:val="0"/>
          <w:numId w:val="9"/>
        </w:numPr>
        <w:rPr/>
      </w:pPr>
      <w:r>
        <w:rPr>
          <w:rFonts w:cs="Arial" w:ascii="Arial" w:hAnsi="Arial"/>
        </w:rPr>
        <w:t>CMS</w:t>
      </w:r>
    </w:p>
    <w:p>
      <w:pPr>
        <w:pStyle w:val="Normal"/>
        <w:numPr>
          <w:ilvl w:val="0"/>
          <w:numId w:val="9"/>
        </w:numPr>
        <w:rPr/>
      </w:pPr>
      <w:r>
        <w:rPr>
          <w:rFonts w:cs="Arial" w:ascii="Arial" w:hAnsi="Arial"/>
        </w:rPr>
        <w:t>Kinder Morgan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numPr>
          <w:ilvl w:val="0"/>
          <w:numId w:val="3"/>
        </w:numPr>
        <w:tabs>
          <w:tab w:val="clear" w:pos="720"/>
          <w:tab w:val="left" w:pos="360" w:leader="none"/>
        </w:tabs>
        <w:ind w:hanging="0" w:start="0"/>
        <w:rPr/>
      </w:pPr>
      <w:r>
        <w:rPr/>
        <w:t xml:space="preserve">Proposed Timeline </w:t>
      </w:r>
      <w:r>
        <w:rPr>
          <w:b w:val="false"/>
        </w:rPr>
        <w:t>(to be confirmed)</w:t>
      </w:r>
    </w:p>
    <w:p>
      <w:pPr>
        <w:pStyle w:val="Normal"/>
        <w:rPr/>
      </w:pPr>
      <w:r>
        <w:rPr/>
      </w:r>
    </w:p>
    <w:tbl>
      <w:tblPr>
        <w:tblW w:w="9216" w:type="dxa"/>
        <w:jc w:val="start"/>
        <w:tblInd w:w="-162" w:type="dxa"/>
        <w:tblLayout w:type="fixed"/>
        <w:tblCellMar>
          <w:top w:w="0" w:type="dxa"/>
          <w:start w:w="108" w:type="dxa"/>
          <w:bottom w:w="0" w:type="dxa"/>
          <w:end w:w="108" w:type="dxa"/>
        </w:tblCellMar>
      </w:tblPr>
      <w:tblGrid>
        <w:gridCol w:w="2178"/>
        <w:gridCol w:w="7038"/>
      </w:tblGrid>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rPr>
                <w:rFonts w:ascii="Arial" w:hAnsi="Arial" w:cs="Arial"/>
              </w:rPr>
            </w:pPr>
            <w:r>
              <w:rPr>
                <w:rFonts w:cs="Arial" w:ascii="Arial" w:hAnsi="Arial"/>
              </w:rPr>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rPr>
                <w:rFonts w:ascii="Arial" w:hAnsi="Arial" w:cs="Arial"/>
              </w:rPr>
            </w:pPr>
            <w:r>
              <w:rPr>
                <w:rFonts w:cs="Arial" w:ascii="Arial" w:hAnsi="Arial"/>
              </w:rPr>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Nov. 28, 2000:</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Development of CTS starts</w:t>
            </w:r>
          </w:p>
          <w:p>
            <w:pPr>
              <w:pStyle w:val="Footer"/>
              <w:tabs>
                <w:tab w:val="clear" w:pos="4320"/>
                <w:tab w:val="clear" w:pos="8640"/>
              </w:tabs>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 xml:space="preserve">Nov. 28, 2000: </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Commence redrafting of Exclusivity/Commitment Letter Agreements</w:t>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ind w:end="-108"/>
              <w:rPr>
                <w:rFonts w:ascii="Arial" w:hAnsi="Arial" w:cs="Arial"/>
              </w:rPr>
            </w:pPr>
            <w:r>
              <w:rPr>
                <w:rFonts w:cs="Arial" w:ascii="Arial" w:hAnsi="Arial"/>
              </w:rPr>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 xml:space="preserve">Nov. 30, 2000: </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Commence drafting of Service Agreement</w:t>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ind w:end="-108"/>
              <w:rPr>
                <w:rFonts w:ascii="Arial" w:hAnsi="Arial" w:cs="Arial"/>
              </w:rPr>
            </w:pPr>
            <w:r>
              <w:rPr>
                <w:rFonts w:cs="Arial" w:ascii="Arial" w:hAnsi="Arial"/>
              </w:rPr>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snapToGrid w:val="false"/>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Nov. 30, 2000:</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Commence incorporation of CapTrade and CTIP</w:t>
            </w:r>
          </w:p>
          <w:p>
            <w:pPr>
              <w:pStyle w:val="Footer"/>
              <w:tabs>
                <w:tab w:val="clear" w:pos="4320"/>
                <w:tab w:val="clear" w:pos="8640"/>
              </w:tabs>
              <w:ind w:start="-1818"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rPr>
                <w:rFonts w:ascii="Arial" w:hAnsi="Arial" w:cs="Arial"/>
              </w:rPr>
            </w:pPr>
            <w:r>
              <w:rPr>
                <w:rFonts w:cs="Arial" w:ascii="Arial" w:hAnsi="Arial"/>
              </w:rPr>
              <w:t>Dec. 4, 2000:</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rPr>
                <w:rFonts w:ascii="Arial" w:hAnsi="Arial" w:cs="Arial"/>
              </w:rPr>
            </w:pPr>
            <w:r>
              <w:rPr>
                <w:rFonts w:cs="Arial" w:ascii="Arial" w:hAnsi="Arial"/>
              </w:rPr>
              <w:t>Circulate Exclusivity/Commitment Letter Agreements</w:t>
            </w:r>
          </w:p>
          <w:p>
            <w:pPr>
              <w:pStyle w:val="Footer"/>
              <w:tabs>
                <w:tab w:val="clear" w:pos="4320"/>
                <w:tab w:val="clear" w:pos="8640"/>
              </w:tabs>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Jan.    8, 2000:</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Obtain all signed Exclusivity/Commitment Letter Agreements from founding members.</w:t>
            </w:r>
          </w:p>
          <w:p>
            <w:pPr>
              <w:pStyle w:val="Footer"/>
              <w:tabs>
                <w:tab w:val="clear" w:pos="4320"/>
                <w:tab w:val="clear" w:pos="8640"/>
              </w:tabs>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Jan.  30, 2000:</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Share purchase monies in escrow or with CTIP</w:t>
            </w:r>
          </w:p>
          <w:p>
            <w:pPr>
              <w:pStyle w:val="Footer"/>
              <w:tabs>
                <w:tab w:val="clear" w:pos="4320"/>
                <w:tab w:val="clear" w:pos="8640"/>
              </w:tabs>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May    1, 2001:</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Commence Final Testing of CTS</w:t>
            </w:r>
          </w:p>
          <w:p>
            <w:pPr>
              <w:pStyle w:val="Footer"/>
              <w:tabs>
                <w:tab w:val="clear" w:pos="4320"/>
                <w:tab w:val="clear" w:pos="8640"/>
              </w:tabs>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June   1, 2001:</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CTS is operational</w:t>
            </w:r>
          </w:p>
          <w:p>
            <w:pPr>
              <w:pStyle w:val="Footer"/>
              <w:tabs>
                <w:tab w:val="clear" w:pos="4320"/>
                <w:tab w:val="clear" w:pos="8640"/>
              </w:tabs>
              <w:ind w:end="-108"/>
              <w:rPr>
                <w:rFonts w:ascii="Arial" w:hAnsi="Arial" w:cs="Arial"/>
              </w:rPr>
            </w:pPr>
            <w:r>
              <w:rPr>
                <w:rFonts w:cs="Arial" w:ascii="Arial" w:hAnsi="Arial"/>
              </w:rPr>
            </w:r>
          </w:p>
        </w:tc>
      </w:tr>
      <w:tr>
        <w:trPr/>
        <w:tc>
          <w:tcPr>
            <w:tcW w:w="217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July     1, 2001:</w:t>
            </w:r>
          </w:p>
        </w:tc>
        <w:tc>
          <w:tcPr>
            <w:tcW w:w="7038" w:type="dxa"/>
            <w:tcBorders>
              <w:top w:val="single" w:sz="4" w:space="0" w:color="FFFFFF"/>
              <w:start w:val="single" w:sz="4" w:space="0" w:color="FFFFFF"/>
              <w:bottom w:val="single" w:sz="4" w:space="0" w:color="FFFFFF"/>
              <w:end w:val="single" w:sz="4" w:space="0" w:color="FFFFFF"/>
            </w:tcBorders>
          </w:tcPr>
          <w:p>
            <w:pPr>
              <w:pStyle w:val="Footer"/>
              <w:tabs>
                <w:tab w:val="clear" w:pos="4320"/>
                <w:tab w:val="clear" w:pos="8640"/>
              </w:tabs>
              <w:ind w:end="-108"/>
              <w:rPr>
                <w:rFonts w:ascii="Arial" w:hAnsi="Arial" w:cs="Arial"/>
              </w:rPr>
            </w:pPr>
            <w:r>
              <w:rPr>
                <w:rFonts w:cs="Arial" w:ascii="Arial" w:hAnsi="Arial"/>
              </w:rPr>
              <w:t>CapTrade goes live and drop-dead date (per Share Purchase Agreements)</w:t>
            </w:r>
          </w:p>
        </w:tc>
      </w:tr>
    </w:tbl>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Bookman Old Style" w:ascii="Bookman Old Style" w:hAnsi="Bookman Old Style"/>
        <w:b/>
      </w:rPr>
      <w:t xml:space="preserve">DRAFT </w:t>
    </w:r>
    <w:r>
      <w:rPr>
        <w:rFonts w:cs="Bookman Old Style" w:ascii="Bookman Old Style" w:hAnsi="Bookman Old Style"/>
        <w:b/>
        <w:i/>
      </w:rPr>
      <w:t xml:space="preserve">For Internal Discussion Only!                       </w:t>
    </w:r>
    <w:r>
      <w:rPr>
        <w:rFonts w:cs="Bookman Old Style" w:ascii="Bookman Old Style" w:hAnsi="Bookman Old Style"/>
        <w:b/>
        <w:i/>
      </w:rPr>
      <w:fldChar w:fldCharType="begin"/>
    </w:r>
    <w:r>
      <w:rPr>
        <w:i/>
        <w:b/>
        <w:rFonts w:cs="Bookman Old Style" w:ascii="Bookman Old Style" w:hAnsi="Bookman Old Style"/>
      </w:rPr>
      <w:instrText xml:space="preserve"> DATE \@"MM\/dd\/yy" </w:instrText>
    </w:r>
    <w:r>
      <w:rPr>
        <w:i/>
        <w:b/>
        <w:rFonts w:cs="Bookman Old Style" w:ascii="Bookman Old Style" w:hAnsi="Bookman Old Style"/>
      </w:rPr>
      <w:fldChar w:fldCharType="separate"/>
    </w:r>
    <w:r>
      <w:rPr>
        <w:i/>
        <w:b/>
        <w:rFonts w:cs="Bookman Old Style" w:ascii="Bookman Old Style" w:hAnsi="Bookman Old Style"/>
      </w:rPr>
      <w:t>09/28/25</w:t>
    </w:r>
    <w:r>
      <w:rPr>
        <w:i/>
        <w:b/>
        <w:rFonts w:cs="Bookman Old Style" w:ascii="Bookman Old Style" w:hAnsi="Bookman Old Style"/>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rPr>
  </w:style>
  <w:style w:type="paragraph" w:styleId="Heading3">
    <w:name w:val="heading 3"/>
    <w:basedOn w:val="Normal"/>
    <w:next w:val="Normal"/>
    <w:qFormat/>
    <w:pPr>
      <w:keepNext w:val="true"/>
      <w:numPr>
        <w:ilvl w:val="0"/>
        <w:numId w:val="3"/>
      </w:numPr>
      <w:outlineLvl w:val="2"/>
    </w:pPr>
    <w:rPr>
      <w:rFonts w:ascii="Arial" w:hAnsi="Arial" w:cs="Arial"/>
      <w:b/>
    </w:rPr>
  </w:style>
  <w:style w:type="character" w:styleId="WW8Num2z0">
    <w:name w:val="WW8Num2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2000-11-30T13:30:00Z</dcterms:created>
  <dc:creator>lpacheco</dc:creator>
  <dc:description/>
  <dc:language>en-CA</dc:language>
  <cp:lastModifiedBy>DFORSTER</cp:lastModifiedBy>
  <cp:lastPrinted>2000-11-29T13:56:00Z</cp:lastPrinted>
  <dcterms:modified xsi:type="dcterms:W3CDTF">2000-11-30T15:57:00Z</dcterms:modified>
  <cp:revision>3</cp:revision>
  <dc:subject/>
  <dc:title>CAPACITY TRADING EQUITY OFFERING</dc:title>
</cp:coreProperties>
</file>