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color w:val="800080"/>
          <w:sz w:val="22"/>
        </w:rPr>
        <w:t>Canadian Securities Acts.</w:t>
      </w:r>
      <w:r>
        <w:rPr>
          <w:color w:val="800080"/>
          <w:sz w:val="22"/>
        </w:rPr>
        <w:t xml:space="preserve">  (i) Each Transaction shall constitute an “OTC Derivative” as defined in the </w:t>
      </w:r>
      <w:r>
        <w:rPr>
          <w:i/>
          <w:color w:val="800080"/>
          <w:sz w:val="22"/>
        </w:rPr>
        <w:t>Securities Act</w:t>
      </w:r>
      <w:r>
        <w:rPr>
          <w:color w:val="800080"/>
          <w:sz w:val="22"/>
        </w:rPr>
        <w:t xml:space="preserve"> (Alberta) and the </w:t>
      </w:r>
      <w:r>
        <w:rPr>
          <w:i/>
          <w:color w:val="800080"/>
          <w:sz w:val="22"/>
        </w:rPr>
        <w:t>Securities Act</w:t>
      </w:r>
      <w:r>
        <w:rPr>
          <w:color w:val="800080"/>
          <w:sz w:val="22"/>
        </w:rPr>
        <w:t xml:space="preserve"> (British Columbia) which have application to such Transaction and (ii) it is a “Qualified Party” within the meaning of paragraph 9.1 of Alberta Securities Commission Order Doc#394043 and/or paragraph 1.1 of the British Columbia Securities Commission Blanket Order BOR#91-501(BC), as in effect on the date hereof.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2000-05-15T14:56:00Z</dcterms:created>
  <dc:creator>cstclai</dc:creator>
  <dc:description/>
  <dc:language>en-CA</dc:language>
  <cp:lastModifiedBy>cstclai</cp:lastModifiedBy>
  <dcterms:modified xsi:type="dcterms:W3CDTF">2000-05-15T14:56:00Z</dcterms:modified>
  <cp:revision>1</cp:revision>
  <dc:subject/>
  <dc:title>Canadian Securities Acts</dc:title>
</cp:coreProperties>
</file>