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Canadian Telecommunications Regulations</w:t>
      </w:r>
    </w:p>
    <w:p>
      <w:pPr>
        <w:pStyle w:val="Normal"/>
        <w:spacing w:lineRule="auto" w:line="360"/>
        <w:rPr/>
      </w:pPr>
      <w:r>
        <w:rPr/>
      </w:r>
    </w:p>
    <w:p>
      <w:pPr>
        <w:pStyle w:val="Normal"/>
        <w:numPr>
          <w:ilvl w:val="0"/>
          <w:numId w:val="1"/>
        </w:numPr>
        <w:spacing w:lineRule="auto" w:line="360"/>
        <w:rPr>
          <w:b/>
        </w:rPr>
      </w:pPr>
      <w:r>
        <w:rPr>
          <w:b/>
        </w:rPr>
        <w:t>Background</w:t>
      </w:r>
    </w:p>
    <w:p>
      <w:pPr>
        <w:pStyle w:val="Normal"/>
        <w:numPr>
          <w:ilvl w:val="1"/>
          <w:numId w:val="1"/>
        </w:numPr>
        <w:spacing w:lineRule="auto" w:line="360"/>
        <w:rPr/>
      </w:pPr>
      <w:r>
        <w:rPr/>
        <w:t>The international licensing regime is relatively new in Canada.  It’s origins lie in the successful conclusion in 1997 of the Fourth Protocol to the General Agreement on Trades in Services to liberalize trade in basic telecommunication services.  In that context, the government of Canada announced that it would end Teleglobe Canada Inc.’s monopoly over the provision of facilities based, Canada-US, and Canada-overseas telecommunications services, effective October 1, 1998.  The government also indicated that it would amend Canada’s Telecommunications Act to allow for licensing of other providers of international telecommunications services.</w:t>
      </w:r>
    </w:p>
    <w:p>
      <w:pPr>
        <w:pStyle w:val="Normal"/>
        <w:numPr>
          <w:ilvl w:val="1"/>
          <w:numId w:val="1"/>
        </w:numPr>
        <w:spacing w:lineRule="auto" w:line="360"/>
        <w:rPr/>
      </w:pPr>
      <w:r>
        <w:rPr/>
        <w:t>The Canadian Radio-television and Telecommunications Commission (“CRTC” or the “Commission) is the sole federal regulator responsible for licensing and other regulatory matters.</w:t>
      </w:r>
    </w:p>
    <w:p>
      <w:pPr>
        <w:pStyle w:val="Normal"/>
        <w:spacing w:lineRule="auto" w:line="360"/>
        <w:rPr/>
      </w:pPr>
      <w:r>
        <w:rPr/>
      </w:r>
    </w:p>
    <w:p>
      <w:pPr>
        <w:pStyle w:val="Normal"/>
        <w:spacing w:lineRule="auto" w:line="360"/>
        <w:rPr>
          <w:b/>
        </w:rPr>
      </w:pPr>
      <w:r>
        <w:rPr>
          <w:b/>
        </w:rPr>
        <w:t>2. Licensing Framework</w:t>
      </w:r>
    </w:p>
    <w:p>
      <w:pPr>
        <w:pStyle w:val="Normal"/>
        <w:numPr>
          <w:ilvl w:val="1"/>
          <w:numId w:val="3"/>
        </w:numPr>
        <w:spacing w:lineRule="auto" w:line="360"/>
        <w:rPr/>
      </w:pPr>
      <w:r>
        <w:rPr/>
        <w:t>Operators who owns or operates transmission facilities located in Canada where these facilities are used, by that person or another, to offer services to public in Canada for compensation will be licensed as a Canadian Telecommunications Common Carrier (TCC).</w:t>
      </w:r>
    </w:p>
    <w:p>
      <w:pPr>
        <w:pStyle w:val="Normal"/>
        <w:numPr>
          <w:ilvl w:val="2"/>
          <w:numId w:val="3"/>
        </w:numPr>
        <w:rPr/>
      </w:pPr>
      <w:r>
        <w:rPr/>
        <w:t>A Canadian carrier is eligible to operate as TCC if it is Canadian majority owned and controlled corporation incorporated under the laws of Canada or a province.  In addition, actual presence and staff members within the Canada are required to satisfy the CRTC that the entity is not a foreign-controlled Canadian division or a sham to avoid the ownership and control laws.</w:t>
      </w:r>
    </w:p>
    <w:p>
      <w:pPr>
        <w:pStyle w:val="Normal"/>
        <w:ind w:start="720" w:end="0"/>
        <w:rPr/>
      </w:pPr>
      <w:r>
        <w:rPr/>
      </w:r>
    </w:p>
    <w:p>
      <w:pPr>
        <w:pStyle w:val="BodyTextIndent"/>
        <w:numPr>
          <w:ilvl w:val="2"/>
          <w:numId w:val="3"/>
        </w:numPr>
        <w:rPr/>
      </w:pPr>
      <w:r>
        <w:rPr/>
        <w:t xml:space="preserve">Transmission facilities are any wire, cable, radio, optical or other electromagnetic system or any similar technical system, for the transmission of intelligence between network termination points. </w:t>
      </w:r>
    </w:p>
    <w:p>
      <w:pPr>
        <w:pStyle w:val="Normal"/>
        <w:ind w:start="720" w:end="0"/>
        <w:rPr/>
      </w:pPr>
      <w:r>
        <w:rPr/>
      </w:r>
    </w:p>
    <w:p>
      <w:pPr>
        <w:pStyle w:val="Normal"/>
        <w:numPr>
          <w:ilvl w:val="1"/>
          <w:numId w:val="3"/>
        </w:numPr>
        <w:spacing w:lineRule="auto" w:line="360"/>
        <w:rPr/>
      </w:pPr>
      <w:r>
        <w:rPr/>
        <w:t>Operators intending to provide international telecommunications services involving traffic that originates in Canada and terminates in another country, and vice versa, will be licensed as Basic International Telecommunications Services Operator (BITS).</w:t>
      </w:r>
    </w:p>
    <w:p>
      <w:pPr>
        <w:pStyle w:val="Normal"/>
        <w:numPr>
          <w:ilvl w:val="1"/>
          <w:numId w:val="3"/>
        </w:numPr>
        <w:spacing w:lineRule="auto" w:line="360"/>
        <w:rPr/>
      </w:pPr>
      <w:r>
        <w:rPr/>
        <w:t>Resellers of telecommunications facilities and services provided by Canadian carriers (TCCs) are required to register with the CRTC.</w:t>
      </w:r>
    </w:p>
    <w:p>
      <w:pPr>
        <w:pStyle w:val="Normal"/>
        <w:spacing w:lineRule="auto" w:line="360"/>
        <w:rPr/>
      </w:pPr>
      <w:r>
        <w:rPr/>
      </w:r>
    </w:p>
    <w:p>
      <w:pPr>
        <w:pStyle w:val="Normal"/>
        <w:numPr>
          <w:ilvl w:val="0"/>
          <w:numId w:val="4"/>
        </w:numPr>
        <w:spacing w:lineRule="auto" w:line="360"/>
        <w:rPr>
          <w:b/>
        </w:rPr>
      </w:pPr>
      <w:r>
        <w:rPr>
          <w:b/>
        </w:rPr>
        <w:t>Current Status</w:t>
      </w:r>
    </w:p>
    <w:p>
      <w:pPr>
        <w:pStyle w:val="Normal"/>
        <w:numPr>
          <w:ilvl w:val="1"/>
          <w:numId w:val="2"/>
        </w:numPr>
        <w:spacing w:lineRule="auto" w:line="360"/>
        <w:rPr/>
      </w:pPr>
      <w:r>
        <w:rPr/>
        <w:t>Enron Broadband Services Canada Inc. (a wholly owned and controlled Enron subsidiary)</w:t>
      </w:r>
      <w:r>
        <w:rPr>
          <w:rFonts w:cs="Courier" w:ascii="Courier" w:hAnsi="Courier"/>
          <w:color w:val="000000"/>
          <w:sz w:val="18"/>
          <w:lang w:eastAsia="en-US"/>
        </w:rPr>
        <w:t xml:space="preserve"> </w:t>
      </w:r>
      <w:r>
        <w:rPr/>
        <w:t>is registered as a reseller and the holder of the BITS license.</w:t>
      </w:r>
    </w:p>
    <w:p>
      <w:pPr>
        <w:pStyle w:val="Normal"/>
        <w:numPr>
          <w:ilvl w:val="1"/>
          <w:numId w:val="2"/>
        </w:numPr>
        <w:spacing w:lineRule="auto" w:line="360"/>
        <w:rPr/>
      </w:pPr>
      <w:r>
        <w:rPr/>
        <w:t>Enron Broadband Services Canada Inc. is incorporated federally across Canada and is registered to do business in Ontario, Alberta, BC and Quebec.</w:t>
      </w:r>
    </w:p>
    <w:p>
      <w:pPr>
        <w:pStyle w:val="Normal"/>
        <w:numPr>
          <w:ilvl w:val="1"/>
          <w:numId w:val="2"/>
        </w:numPr>
        <w:spacing w:lineRule="auto" w:line="360"/>
        <w:rPr/>
      </w:pPr>
      <w:r>
        <w:rPr/>
        <w:t>A license is not transferable except with the consent of CRTC</w:t>
      </w:r>
    </w:p>
    <w:p>
      <w:pPr>
        <w:pStyle w:val="Normal"/>
        <w:rPr/>
      </w:pPr>
      <w:r>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Canadian_Licensing_Framework.doc</w:t>
    </w:r>
    <w:r>
      <w:rPr>
        <w:sz w:val="12"/>
        <w:rFonts w:cs="Arial" w:ascii="Arial" w:hAnsi="Arial"/>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6"/>
      </w:rPr>
    </w:pPr>
    <w:r>
      <w:rPr>
        <w:rFonts w:cs="Arial" w:ascii="Arial" w:hAnsi="Arial"/>
        <w:sz w:val="16"/>
      </w:rPr>
      <w:t xml:space="preserve">Enron Broadband Service </w:t>
    </w:r>
  </w:p>
  <w:p>
    <w:pPr>
      <w:pStyle w:val="Header"/>
      <w:rPr>
        <w:rFonts w:ascii="Arial" w:hAnsi="Arial" w:cs="Arial"/>
        <w:sz w:val="16"/>
      </w:rPr>
    </w:pPr>
    <w:r>
      <w:rPr>
        <w:rFonts w:cs="Arial" w:ascii="Arial" w:hAnsi="Arial"/>
        <w:sz w:val="16"/>
      </w:rPr>
      <w:t xml:space="preserve">Confidential </w:t>
    </w:r>
  </w:p>
  <w:p>
    <w:pPr>
      <w:pStyle w:val="Header"/>
      <w:rPr>
        <w:rFonts w:ascii="Arial" w:hAnsi="Arial" w:cs="Arial"/>
        <w:sz w:val="16"/>
      </w:rPr>
    </w:pPr>
    <w:r>
      <w:rPr>
        <w:rFonts w:cs="Arial" w:ascii="Arial" w:hAnsi="Arial"/>
        <w:sz w:val="16"/>
      </w:rPr>
      <w:t xml:space="preserve">Prepared by Xi Xi, EBS regulatory affairs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960"/>
        </w:tabs>
        <w:ind w:start="3960" w:hanging="1440"/>
      </w:pPr>
      <w:rPr/>
    </w:lvl>
    <w:lvl w:ilvl="8">
      <w:start w:val="1"/>
      <w:isLgl/>
      <w:numFmt w:val="decimal"/>
      <w:lvlText w:val="%1.%2.%3.%4.%5.%6.%7.%8.%9"/>
      <w:lvlJc w:val="start"/>
      <w:pPr>
        <w:tabs>
          <w:tab w:val="num" w:pos="4320"/>
        </w:tabs>
        <w:ind w:start="4320" w:hanging="1440"/>
      </w:pPr>
      <w:rPr/>
    </w:lvl>
  </w:abstractNum>
  <w:abstractNum w:abstractNumId="2">
    <w:lvl w:ilvl="0">
      <w:start w:val="1"/>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3">
    <w:lvl w:ilvl="0">
      <w:start w:val="1"/>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160"/>
        </w:tabs>
        <w:ind w:start="2160" w:hanging="72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4">
    <w:lvl w:ilvl="0">
      <w:start w:val="3"/>
      <w:numFmt w:val="decimal"/>
      <w:lvlText w:val="%1."/>
      <w:lvlJc w:val="start"/>
      <w:pPr>
        <w:tabs>
          <w:tab w:val="num" w:pos="360"/>
        </w:tabs>
        <w:ind w:start="36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1800"/>
        </w:tabs>
        <w:ind w:start="1800" w:hanging="720"/>
      </w:pPr>
      <w:rPr/>
    </w:lvl>
    <w:lvl w:ilvl="4">
      <w:start w:val="1"/>
      <w:isLgl/>
      <w:numFmt w:val="decimal"/>
      <w:lvlText w:val="%1.%2.%3.%4.%5"/>
      <w:lvlJc w:val="start"/>
      <w:pPr>
        <w:tabs>
          <w:tab w:val="num" w:pos="2160"/>
        </w:tabs>
        <w:ind w:start="2160" w:hanging="720"/>
      </w:pPr>
      <w:rPr/>
    </w:lvl>
    <w:lvl w:ilvl="5">
      <w:start w:val="1"/>
      <w:isLgl/>
      <w:numFmt w:val="decimal"/>
      <w:lvlText w:val="%1.%2.%3.%4.%5.%6"/>
      <w:lvlJc w:val="start"/>
      <w:pPr>
        <w:tabs>
          <w:tab w:val="num" w:pos="2880"/>
        </w:tabs>
        <w:ind w:start="2880" w:hanging="1080"/>
      </w:pPr>
      <w:rPr/>
    </w:lvl>
    <w:lvl w:ilvl="6">
      <w:start w:val="1"/>
      <w:isLgl/>
      <w:numFmt w:val="decimal"/>
      <w:lvlText w:val="%1.%2.%3.%4.%5.%6.%7"/>
      <w:lvlJc w:val="start"/>
      <w:pPr>
        <w:tabs>
          <w:tab w:val="num" w:pos="3240"/>
        </w:tabs>
        <w:ind w:start="3240" w:hanging="1080"/>
      </w:pPr>
      <w:rPr/>
    </w:lvl>
    <w:lvl w:ilvl="7">
      <w:start w:val="1"/>
      <w:isLgl/>
      <w:numFmt w:val="decimal"/>
      <w:lvlText w:val="%1.%2.%3.%4.%5.%6.%7.%8"/>
      <w:lvlJc w:val="start"/>
      <w:pPr>
        <w:tabs>
          <w:tab w:val="num" w:pos="3960"/>
        </w:tabs>
        <w:ind w:start="3960" w:hanging="1440"/>
      </w:pPr>
      <w:rPr/>
    </w:lvl>
    <w:lvl w:ilvl="8">
      <w:start w:val="1"/>
      <w:isLgl/>
      <w:numFmt w:val="decimal"/>
      <w:lvlText w:val="%1.%2.%3.%4.%5.%6.%7.%8.%9"/>
      <w:lvlJc w:val="start"/>
      <w:pPr>
        <w:tabs>
          <w:tab w:val="num" w:pos="4320"/>
        </w:tabs>
        <w:ind w:start="4320" w:hanging="144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2000-11-15T20:33:00Z</dcterms:created>
  <dc:creator>xi_xi</dc:creator>
  <dc:description/>
  <dc:language>en-CA</dc:language>
  <cp:lastModifiedBy>xi_xi</cp:lastModifiedBy>
  <dcterms:modified xsi:type="dcterms:W3CDTF">2001-01-08T21:43:00Z</dcterms:modified>
  <cp:revision>10</cp:revision>
  <dc:subject/>
  <dc:title>Canadian Licensing Framework</dc:title>
</cp:coreProperties>
</file>