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CANADIAN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in accordance with the terms and conditions of the ETA.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Control occurs. </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States) no such payment is attributable to a trade or business carried on by it through a permanent establishment in the United States.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States)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States) no such payment is attributable to a trade or business carried on by it through a permanent establishment in the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States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States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 xml:space="preserve">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 </w:t>
      </w:r>
    </w:p>
    <w:p>
      <w:pPr>
        <w:pStyle w:val="BodyTextIndent2"/>
        <w:rPr/>
      </w:pPr>
      <w:r>
        <w:rPr/>
        <w:t>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the Reference Entity is adjudicated or found to be insolvent or unable to pay its debts by any court of competent jurisdiction;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(ii) </w:t>
        <w:tab/>
        <w:t xml:space="preserve">the Reference Entity is dissolved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(iii)</w:t>
        <w:tab/>
        <w:t xml:space="preserve">the Reference Entity makes a general assignment, arrangement or composition with or for the benefit of its creditors;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(iv) </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p>
    <w:p>
      <w:pPr>
        <w:pStyle w:val="Normal"/>
        <w:numPr>
          <w:ilvl w:val="0"/>
          <w:numId w:val="0"/>
        </w:numPr>
        <w:ind w:start="720" w:end="0"/>
        <w:jc w:val="both"/>
        <w:outlineLvl w:val="0"/>
        <w:rPr>
          <w:rFonts w:ascii="Arial" w:hAnsi="Arial" w:cs="Arial"/>
          <w:sz w:val="20"/>
        </w:rPr>
      </w:pPr>
      <w:r>
        <w:rPr>
          <w:rFonts w:cs="Arial" w:ascii="Arial" w:hAnsi="Arial"/>
          <w:sz w:val="20"/>
        </w:rPr>
        <w:t>(a)</w:t>
        <w:tab/>
        <w:t xml:space="preserve">results in a judgement of insolvency or bankruptcy or the entry of an order for relief or the making of an order for its winding-up or liquidation; or </w:t>
      </w:r>
    </w:p>
    <w:p>
      <w:pPr>
        <w:pStyle w:val="Normal"/>
        <w:numPr>
          <w:ilvl w:val="0"/>
          <w:numId w:val="0"/>
        </w:numPr>
        <w:ind w:start="720" w:end="0"/>
        <w:jc w:val="both"/>
        <w:outlineLvl w:val="0"/>
        <w:rPr>
          <w:rFonts w:ascii="Arial" w:hAnsi="Arial" w:cs="Arial"/>
          <w:sz w:val="20"/>
        </w:rPr>
      </w:pPr>
      <w:r>
        <w:rPr>
          <w:rFonts w:cs="Arial" w:ascii="Arial" w:hAnsi="Arial"/>
          <w:sz w:val="20"/>
        </w:rPr>
        <w:t>(b)</w:t>
        <w:tab/>
        <w:t xml:space="preserve">is not dismissed, discharged, stayed or restrained, in each case within 60 days of the institution or presentation thereof; </w:t>
      </w:r>
    </w:p>
    <w:p>
      <w:pPr>
        <w:pStyle w:val="Normal"/>
        <w:numPr>
          <w:ilvl w:val="0"/>
          <w:numId w:val="0"/>
        </w:numPr>
        <w:ind w:start="720" w:end="0"/>
        <w:jc w:val="both"/>
        <w:outlineLvl w:val="0"/>
        <w:rPr>
          <w:rFonts w:ascii="Arial" w:hAnsi="Arial" w:cs="Arial"/>
          <w:sz w:val="20"/>
        </w:rPr>
      </w:pPr>
      <w:r>
        <w:rPr>
          <w:rFonts w:cs="Arial" w:ascii="Arial" w:hAnsi="Arial"/>
          <w:sz w:val="20"/>
        </w:rPr>
        <w:t xml:space="preserve">(v) </w:t>
        <w:tab/>
        <w:t xml:space="preserve">the Reference Entity has a resolution passed for its winding-up, official management or liquidation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 xml:space="preserve">(vi) </w:t>
        <w:tab/>
        <w:t xml:space="preserve">the Reference Entity seeks or becomes subject to the appointment of an administrator, provisional liquidator, conservator, monitor, receiver, trustee, custodian or other similar official, including the Superintendent of Financial Institutions where applicable, for it or for all or substantially all its assets; </w:t>
      </w:r>
    </w:p>
    <w:p>
      <w:pPr>
        <w:pStyle w:val="Normal"/>
        <w:numPr>
          <w:ilvl w:val="0"/>
          <w:numId w:val="0"/>
        </w:numPr>
        <w:ind w:start="720" w:end="0"/>
        <w:jc w:val="both"/>
        <w:outlineLvl w:val="0"/>
        <w:rPr>
          <w:rFonts w:ascii="Arial" w:hAnsi="Arial" w:cs="Arial"/>
          <w:sz w:val="20"/>
        </w:rPr>
      </w:pPr>
      <w:r>
        <w:rPr>
          <w:rFonts w:cs="Arial" w:ascii="Arial" w:hAnsi="Arial"/>
          <w:sz w:val="20"/>
        </w:rPr>
        <w:t xml:space="preserve">(vii) </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 </w:t>
      </w:r>
    </w:p>
    <w:p>
      <w:pPr>
        <w:pStyle w:val="Normal"/>
        <w:numPr>
          <w:ilvl w:val="0"/>
          <w:numId w:val="0"/>
        </w:numPr>
        <w:ind w:start="720" w:end="0"/>
        <w:jc w:val="both"/>
        <w:outlineLvl w:val="0"/>
        <w:rPr>
          <w:rFonts w:ascii="Arial" w:hAnsi="Arial" w:cs="Arial"/>
          <w:sz w:val="20"/>
        </w:rPr>
      </w:pPr>
      <w:r>
        <w:rPr>
          <w:rFonts w:cs="Arial" w:ascii="Arial" w:hAnsi="Arial"/>
          <w:sz w:val="20"/>
        </w:rPr>
        <w:t xml:space="preserve">(viii) </w:t>
        <w:tab/>
        <w:t xml:space="preserve">the Reference Entity causes or is subject to any event with respect to it which, under the applicable laws of any jurisdiction, has an analogous effect to any of the events specified in clauses (i) to (vii) (inclusive); or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(ix) </w:t>
        <w:tab/>
        <w:t>takes any action in furtherance of, or indicating its consent to, approval of, or acquiescence in, any of the foregoing acts.</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on or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 </w:t>
      </w:r>
    </w:p>
    <w:p>
      <w:pPr>
        <w:pStyle w:val="Normal"/>
        <w:numPr>
          <w:ilvl w:val="0"/>
          <w:numId w:val="0"/>
        </w:numPr>
        <w:ind w:start="720" w:end="0"/>
        <w:jc w:val="both"/>
        <w:outlineLvl w:val="0"/>
        <w:rPr>
          <w:rFonts w:ascii="Arial" w:hAnsi="Arial" w:cs="Arial"/>
          <w:sz w:val="20"/>
        </w:rPr>
      </w:pPr>
      <w:r>
        <w:rPr>
          <w:rFonts w:cs="Arial" w:ascii="Arial" w:hAnsi="Arial"/>
          <w:sz w:val="20"/>
        </w:rPr>
        <w:t>(ii)</w:t>
        <w:tab/>
        <w:t xml:space="preserve">in respect of the second and each subsequent payment, each Quarter Day falling before the Scheduled Termination Date ; and </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 xml:space="preserve">"Determination Agent" </w:t>
      </w:r>
      <w:r>
        <w:rPr>
          <w:rFonts w:cs="Arial" w:ascii="Arial" w:hAnsi="Arial"/>
          <w:sz w:val="20"/>
        </w:rPr>
        <w:t>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sz w:val="20"/>
        </w:rPr>
        <w:t>"</w:t>
      </w:r>
      <w:r>
        <w:rPr>
          <w:rFonts w:cs="Arial" w:ascii="Arial" w:hAnsi="Arial"/>
          <w:i/>
          <w:sz w:val="20"/>
        </w:rPr>
        <w:t>Month</w:t>
      </w:r>
      <w:r>
        <w:rPr>
          <w:rFonts w:cs="Arial" w:ascii="Arial" w:hAnsi="Arial"/>
          <w:sz w:val="20"/>
        </w:rPr>
        <w:t>"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Canada News Wire, Globe and Mail (Canada) and National Post (Canada),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 </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BodyTextIndent"/>
        <w:rPr/>
      </w:pPr>
      <w:r>
        <w:rPr/>
        <w:t>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4(d), the date of occurrence of the Event of Default shall automatically be designated as an Early Termination Date" shall be inserted at the end of the first sentence of the first paragraph of Section 5; and</w:t>
      </w:r>
    </w:p>
    <w:p>
      <w:pPr>
        <w:pStyle w:val="Normal"/>
        <w:numPr>
          <w:ilvl w:val="4"/>
          <w:numId w:val="6"/>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6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paragraph" w:styleId="BodyTextIndent2">
    <w:name w:val="Body Text Indent 2"/>
    <w:basedOn w:val="Normal"/>
    <w:qFormat/>
    <w:pPr>
      <w:numPr>
        <w:ilvl w:val="0"/>
        <w:numId w:val="0"/>
      </w:numPr>
      <w:ind w:hanging="0" w:start="2160" w:end="0"/>
      <w:jc w:val="both"/>
      <w:outlineLvl w:val="2"/>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2000-02-17T07:51:00Z</dcterms:created>
  <dc:creator>NEdmonds</dc:creator>
  <dc:description/>
  <dc:language>en-CA</dc:language>
  <cp:lastModifiedBy>ECooper</cp:lastModifiedBy>
  <dcterms:modified xsi:type="dcterms:W3CDTF">2000-02-17T17:10:00Z</dcterms:modified>
  <cp:revision>4</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BCM</vt:lpwstr>
  </property>
  <property fmtid="{D5CDD505-2E9C-101B-9397-08002B2CF9AE}" pid="4" name="udp_BorderStyle">
    <vt:lpwstr>None</vt:lpwstr>
  </property>
  <property fmtid="{D5CDD505-2E9C-101B-9397-08002B2CF9AE}" pid="5" name="udp_CMNumber">
    <vt:lpwstr>000000/00000</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Bin Numbers</vt:lpwstr>
  </property>
  <property fmtid="{D5CDD505-2E9C-101B-9397-08002B2CF9AE}" pid="9" name="udp_Department">
    <vt:lpwstr> </vt:lpwstr>
  </property>
  <property fmtid="{D5CDD505-2E9C-101B-9397-08002B2CF9AE}" pid="10" name="udp_DocID">
    <vt:lpwstr>CACopy1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Bin Numbers</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Murphy, Benjamin</vt:lpwstr>
  </property>
  <property fmtid="{D5CDD505-2E9C-101B-9397-08002B2CF9AE}" pid="18" name="udp_Version">
    <vt:lpwstr>0</vt:lpwstr>
  </property>
</Properties>
</file>