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310" w:leader="none"/>
        </w:tabs>
        <w:ind w:end="202"/>
        <w:jc w:val="both"/>
        <w:rPr>
          <w:rFonts w:ascii="Arial Narrow" w:hAnsi="Arial Narrow" w:cs="Arial Narrow"/>
          <w:sz w:val="18"/>
        </w:rPr>
      </w:pPr>
      <w:r>
        <w:rPr>
          <w:rFonts w:cs="Arial Narrow" w:ascii="Arial Narrow" w:hAnsi="Arial Narrow"/>
          <w:sz w:val="18"/>
        </w:rPr>
        <w:t>This Canadian Annex supplements, forms part of, and is incorporated into the Confirmation to which this Canadian Annex is attached.  Until a Master Agreement is executed by the parties, this Canadian Annex will set forth additional terms and conditions governing all Derivative Transactions between the parties except as otherwise specified in a Confirmation to a Transaction.</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1.   </w:t>
      </w:r>
      <w:r>
        <w:rPr>
          <w:rFonts w:cs="Arial Narrow" w:ascii="Arial Narrow" w:hAnsi="Arial Narrow"/>
          <w:b/>
          <w:sz w:val="18"/>
          <w:u w:val="single"/>
        </w:rPr>
        <w:t>Taxes</w:t>
      </w:r>
      <w:r>
        <w:rPr>
          <w:rFonts w:cs="Arial Narrow" w:ascii="Arial Narrow" w:hAnsi="Arial Narrow"/>
          <w:sz w:val="18"/>
        </w:rPr>
        <w:t xml:space="preserve">.  (a)  </w:t>
      </w:r>
      <w:r>
        <w:rPr>
          <w:rFonts w:cs="Arial Narrow" w:ascii="Arial Narrow" w:hAnsi="Arial Narrow"/>
          <w:sz w:val="18"/>
          <w:u w:val="single"/>
        </w:rPr>
        <w:t>Payor Representations.</w:t>
      </w:r>
      <w:r>
        <w:rPr>
          <w:rFonts w:cs="Arial Narrow" w:ascii="Arial Narrow" w:hAnsi="Arial Narrow"/>
          <w:sz w:val="18"/>
        </w:rPr>
        <w:t xml:space="preserve">  In connection with making all payments under this Confirmation, each party makes the following payor representations: (1) It is not required by any applicable law, as modified by the practice of any relevant governmental revenue authority, of any Relevant Jurisdiction, to make any deduction or withholding for or on account of any tax from any payment (other than any interest payments under this Confirmation) to be made by it to the other party under this Confirmation.  In making this representation, it may rely on the accuracy of the tax representations and covenants made by the other party; and (2) for purposes of this representation, "</w:t>
      </w:r>
      <w:r>
        <w:rPr>
          <w:rFonts w:cs="Arial Narrow" w:ascii="Arial Narrow" w:hAnsi="Arial Narrow"/>
          <w:i/>
          <w:sz w:val="18"/>
          <w:u w:val="single"/>
        </w:rPr>
        <w:t>Relevant Jurisdiction</w:t>
      </w:r>
      <w:r>
        <w:rPr>
          <w:rFonts w:cs="Arial Narrow" w:ascii="Arial Narrow" w:hAnsi="Arial Narrow"/>
          <w:sz w:val="18"/>
        </w:rPr>
        <w:t>" means any jurisdiction (i) in which the party is incorporated, organized, managed and controlled, or is considered to have a seat, (ii) where a branch or office through which the party is acting for purposes of this Confirmation is located, (iii) in which the party executes this Confirmation or (iv) in relation to any payment, from or through which payment is made.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(b)  </w:t>
      </w:r>
      <w:r>
        <w:rPr>
          <w:rFonts w:cs="Arial Narrow" w:ascii="Arial Narrow" w:hAnsi="Arial Narrow"/>
          <w:sz w:val="18"/>
          <w:u w:val="single"/>
        </w:rPr>
        <w:t>Payee Representations</w:t>
      </w:r>
      <w:r>
        <w:rPr>
          <w:rFonts w:cs="Arial Narrow" w:ascii="Arial Narrow" w:hAnsi="Arial Narrow"/>
          <w:sz w:val="18"/>
        </w:rPr>
        <w:t>.  In connection with receiving all payments under this Confirmation, each party makes the following payee representations:  (1) 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no such payment is attributable to a trade or business carried on by it through a permanent establishment in the Specified Jurisdiction; and (2) with respect to Counterparty, "</w:t>
      </w:r>
      <w:r>
        <w:rPr>
          <w:rFonts w:cs="Arial Narrow" w:ascii="Arial Narrow" w:hAnsi="Arial Narrow"/>
          <w:i/>
          <w:sz w:val="18"/>
          <w:u w:val="single"/>
        </w:rPr>
        <w:t>Specified Treaty</w:t>
      </w:r>
      <w:r>
        <w:rPr>
          <w:rFonts w:cs="Arial Narrow" w:ascii="Arial Narrow" w:hAnsi="Arial Narrow"/>
          <w:sz w:val="18"/>
        </w:rPr>
        <w:t>" means the income tax treaty between the United States and Canada, and "</w:t>
      </w:r>
      <w:r>
        <w:rPr>
          <w:rFonts w:cs="Arial Narrow" w:ascii="Arial Narrow" w:hAnsi="Arial Narrow"/>
          <w:i/>
          <w:sz w:val="18"/>
          <w:u w:val="single"/>
        </w:rPr>
        <w:t>Specified Jurisdiction</w:t>
      </w:r>
      <w:r>
        <w:rPr>
          <w:rFonts w:cs="Arial Narrow" w:ascii="Arial Narrow" w:hAnsi="Arial Narrow"/>
          <w:sz w:val="18"/>
        </w:rPr>
        <w:t>" means the United States; and (3) with respect to ENA, "</w:t>
      </w:r>
      <w:r>
        <w:rPr>
          <w:rFonts w:cs="Arial Narrow" w:ascii="Arial Narrow" w:hAnsi="Arial Narrow"/>
          <w:i/>
          <w:sz w:val="18"/>
          <w:u w:val="single"/>
        </w:rPr>
        <w:t>Specified Treaty</w:t>
      </w:r>
      <w:r>
        <w:rPr>
          <w:rFonts w:cs="Arial Narrow" w:ascii="Arial Narrow" w:hAnsi="Arial Narrow"/>
          <w:sz w:val="18"/>
        </w:rPr>
        <w:t>" means the income tax treaty between the United States and Canada, and "</w:t>
      </w:r>
      <w:r>
        <w:rPr>
          <w:rFonts w:cs="Arial Narrow" w:ascii="Arial Narrow" w:hAnsi="Arial Narrow"/>
          <w:i/>
          <w:sz w:val="18"/>
          <w:u w:val="single"/>
        </w:rPr>
        <w:t>Specified Jurisdiction</w:t>
      </w:r>
      <w:r>
        <w:rPr>
          <w:rFonts w:cs="Arial Narrow" w:ascii="Arial Narrow" w:hAnsi="Arial Narrow"/>
          <w:sz w:val="18"/>
          <w:u w:val="single"/>
        </w:rPr>
        <w:t>"</w:t>
      </w:r>
      <w:r>
        <w:rPr>
          <w:rFonts w:cs="Arial Narrow" w:ascii="Arial Narrow" w:hAnsi="Arial Narrow"/>
          <w:sz w:val="18"/>
        </w:rPr>
        <w:t xml:space="preserve"> means Canada.</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(c)  </w:t>
      </w:r>
      <w:r>
        <w:rPr>
          <w:rFonts w:cs="Arial Narrow" w:ascii="Arial Narrow" w:hAnsi="Arial Narrow"/>
          <w:sz w:val="18"/>
          <w:u w:val="single"/>
        </w:rPr>
        <w:t>Changes in Representation</w:t>
      </w:r>
      <w:r>
        <w:rPr>
          <w:rFonts w:cs="Arial Narrow" w:ascii="Arial Narrow" w:hAnsi="Arial Narrow"/>
          <w:sz w:val="18"/>
        </w:rPr>
        <w:t>.  If any representation made under this Section becomes untrue or inaccurate during the term of this Confirmation, the party whose representation has changed shall promptly give the other party written notice of such change.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(d)  </w:t>
      </w:r>
      <w:r>
        <w:rPr>
          <w:rFonts w:cs="Arial Narrow" w:ascii="Arial Narrow" w:hAnsi="Arial Narrow"/>
          <w:sz w:val="18"/>
          <w:u w:val="single"/>
        </w:rPr>
        <w:t>Withholding Tax Exemption Form</w:t>
      </w:r>
      <w:r>
        <w:rPr>
          <w:rFonts w:cs="Arial Narrow" w:ascii="Arial Narrow" w:hAnsi="Arial Narrow"/>
          <w:sz w:val="18"/>
        </w:rPr>
        <w:t>.  Upon request, each party shall provide the other party with a properly completed and executed exemption form, certificate or other document that will allow the other party to make any payment hereunder without deduction or withholding for taxes, including (but not limited to) Internal Revenue Service Form 4224, W-8 and 1001.</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(e)  </w:t>
      </w:r>
      <w:r>
        <w:rPr>
          <w:rFonts w:cs="Arial Narrow" w:ascii="Arial Narrow" w:hAnsi="Arial Narrow"/>
          <w:sz w:val="18"/>
          <w:u w:val="single"/>
        </w:rPr>
        <w:t>Gross-Up</w:t>
      </w:r>
      <w:r>
        <w:rPr>
          <w:rFonts w:cs="Arial Narrow" w:ascii="Arial Narrow" w:hAnsi="Arial Narrow"/>
          <w:sz w:val="18"/>
        </w:rPr>
        <w:t>. All payments under this Confirmation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 (1) promptly notify the other party ("Y") of such requirement; (2) pay to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(3) promptly forward to Y an official receipt (or a certified copy) or other documentation reasonably acceptable to Y evidencing such payment to such authorities; and  (4) if such Tax is an Indemnifiable Tax, pay to Y, in addition to the payment to which Y is otherwise entitled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(f)  </w:t>
      </w:r>
      <w:r>
        <w:rPr>
          <w:rFonts w:cs="Arial Narrow" w:ascii="Arial Narrow" w:hAnsi="Arial Narrow"/>
          <w:sz w:val="18"/>
          <w:u w:val="single"/>
        </w:rPr>
        <w:t>Liability</w:t>
      </w:r>
      <w:r>
        <w:rPr>
          <w:rFonts w:cs="Arial Narrow" w:ascii="Arial Narrow" w:hAnsi="Arial Narrow"/>
          <w:sz w:val="18"/>
        </w:rPr>
        <w:t>. If: (1) X is required by any applicable law, as modified by the practice of any relevant governmental revenue authority, to make any deduction or withholding in respect of which X would not be required to pay an additional amount to Y under Subsection (e)(4); (2)  X does not so deduct or withhold; and (3) a liability resulting from such Tax is assessed directly against X, then, except to the extent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(g)  </w:t>
      </w:r>
      <w:r>
        <w:rPr>
          <w:rFonts w:cs="Arial Narrow" w:ascii="Arial Narrow" w:hAnsi="Arial Narrow"/>
          <w:sz w:val="18"/>
          <w:u w:val="single"/>
        </w:rPr>
        <w:t>Change in Tax Law</w:t>
      </w:r>
      <w:r>
        <w:rPr>
          <w:rFonts w:cs="Arial Narrow" w:ascii="Arial Narrow" w:hAnsi="Arial Narrow"/>
          <w:sz w:val="18"/>
        </w:rPr>
        <w:t>. If, as a result of a Change in Tax Law, Counterparty or ENA will, or there is a substantial likelihood that it will, on the next succeeding payment date (1) be required to pay to the other party an additional amount in respect of an Indemnifiable Tax (except in respect of any interest payable under the Confirmation), or (2) 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Annex A. For purposes of calculating Gains, Losses and Costs under Section 4 of Annex A, the party designating the Early Termination Date as a result of a Change in Tax Law shall be treated as the Defaulting Party, and the other party shall be treated as the non-defaulting party.</w:t>
      </w:r>
    </w:p>
    <w:p>
      <w:pPr>
        <w:pStyle w:val="Normal"/>
        <w:tabs>
          <w:tab w:val="clear" w:pos="720"/>
          <w:tab w:val="left" w:pos="531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(h)  </w:t>
      </w:r>
      <w:r>
        <w:rPr>
          <w:rFonts w:cs="Arial Narrow" w:ascii="Arial Narrow" w:hAnsi="Arial Narrow"/>
          <w:sz w:val="18"/>
          <w:u w:val="single"/>
        </w:rPr>
        <w:t>Miscellaneous</w:t>
      </w:r>
      <w:r>
        <w:rPr>
          <w:rFonts w:cs="Arial Narrow" w:ascii="Arial Narrow" w:hAnsi="Arial Narrow"/>
          <w:sz w:val="18"/>
        </w:rPr>
        <w:t>.  The representations set forth in this Section supersede and replace the representations in Sections 1(a)(iii) and 1(a)(iv) of Annex A.  It shall not be an Event of Default under this Confirmation if any of the representations or warranties contained in this Section prove to have been false or misleading in any material respect or if a party breaches any agreement or covenant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this Confirmation, other than a stamp, registration, documentation or similar tax.</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shall mean any Tax, other than a Tax that would not be imposed in respect of a payment made under this Confirmation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organized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this Confirmation or any related credit support document.</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Change in Tax Law</w:t>
      </w:r>
      <w:r>
        <w:rPr>
          <w:rFonts w:cs="Arial Narrow" w:ascii="Arial Narrow" w:hAnsi="Arial Narrow"/>
          <w:sz w:val="18"/>
        </w:rPr>
        <w:t>" shall mean any proposed or final rulemaking published by a taxing authority, or a final decision of a court of competent jurisdiction, after the date hereof (regardless of whether such rulemaking or final decision is made with respect to a party to this Confirmation),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ENA) after the date hereof.</w:t>
      </w:r>
    </w:p>
    <w:p>
      <w:pPr>
        <w:pStyle w:val="Normal"/>
        <w:tabs>
          <w:tab w:val="clear" w:pos="720"/>
          <w:tab w:val="left" w:pos="5310" w:leader="none"/>
        </w:tabs>
        <w:ind w:end="198"/>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br w:type="column"/>
      </w:r>
      <w:r>
        <w:rPr>
          <w:rFonts w:cs="Arial Narrow" w:ascii="Arial Narrow" w:hAnsi="Arial Narrow"/>
          <w:sz w:val="18"/>
        </w:rPr>
        <w:t xml:space="preserve">2.  </w:t>
      </w:r>
      <w:r>
        <w:rPr>
          <w:rFonts w:cs="Arial Narrow" w:ascii="Arial Narrow" w:hAnsi="Arial Narrow"/>
          <w:b/>
          <w:sz w:val="18"/>
          <w:u w:val="single"/>
        </w:rPr>
        <w:t>Interest Rate</w:t>
      </w:r>
      <w:r>
        <w:rPr>
          <w:rFonts w:cs="Arial Narrow" w:ascii="Arial Narrow" w:hAnsi="Arial Narrow"/>
          <w:b/>
          <w:sz w:val="18"/>
        </w:rPr>
        <w:t>.</w:t>
      </w:r>
      <w:r>
        <w:rPr>
          <w:rFonts w:cs="Arial Narrow" w:ascii="Arial Narrow" w:hAnsi="Arial Narrow"/>
          <w:sz w:val="18"/>
        </w:rPr>
        <w:t xml:space="preserve">  For purposes of this Confirmation, interest calculated on the basis of a year of three hundred and sixty (360) days and expressed as an annual rate is, for the purposes of the Interest Act (Canada), equivalent to such rate as so determined multiplied by the number of days in the calendar year in which the same is to be ascertained and divided by 360.888.</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3.  </w:t>
      </w:r>
      <w:r>
        <w:rPr>
          <w:rFonts w:cs="Arial Narrow" w:ascii="Arial Narrow" w:hAnsi="Arial Narrow"/>
          <w:b/>
          <w:sz w:val="18"/>
          <w:u w:val="single"/>
        </w:rPr>
        <w:t>Currency Provisions</w:t>
      </w:r>
      <w:r>
        <w:rPr>
          <w:rFonts w:cs="Arial Narrow" w:ascii="Arial Narrow" w:hAnsi="Arial Narrow"/>
          <w:sz w:val="18"/>
        </w:rPr>
        <w:t>.  Each payment under this Confirmation will be made in the Contractual Currency.  To the extent permitted by applicable law, if any judgment or order expressed in a currency other than the Contractual Currency is rendered for the payment of any amount owing under this Confirmation,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headerReference w:type="default" r:id="rId2"/>
      <w:headerReference w:type="first" r:id="rId3"/>
      <w:footerReference w:type="default" r:id="rId4"/>
      <w:footerReference w:type="first" r:id="rId5"/>
      <w:type w:val="nextPage"/>
      <w:pgSz w:w="12240" w:h="15840"/>
      <w:pgMar w:left="1008" w:right="720" w:gutter="0" w:header="720" w:top="776" w:footer="720" w:bottom="776"/>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5310" w:leader="none"/>
      </w:tabs>
      <w:ind w:end="198"/>
      <w:jc w:val="both"/>
      <w:rPr>
        <w:rFonts w:ascii="Arial Narrow" w:hAnsi="Arial Narrow" w:cs="Arial Narrow"/>
        <w:sz w:val="8"/>
      </w:rPr>
    </w:pPr>
    <w:r>
      <w:rPr>
        <w:rFonts w:cs="Arial Narrow" w:ascii="Arial Narrow" w:hAnsi="Arial Narrow"/>
        <w:sz w:val="8"/>
      </w:rPr>
    </w:r>
  </w:p>
  <w:p>
    <w:pPr>
      <w:pStyle w:val="Normal"/>
      <w:tabs>
        <w:tab w:val="clear" w:pos="720"/>
        <w:tab w:val="left" w:pos="5310" w:leader="none"/>
      </w:tabs>
      <w:ind w:end="198"/>
      <w:jc w:val="both"/>
      <w:rPr>
        <w:rFonts w:ascii="Arial Narrow" w:hAnsi="Arial Narrow" w:cs="Arial Narrow"/>
        <w:sz w:val="8"/>
      </w:rPr>
    </w:pPr>
    <w:r>
      <w:rPr>
        <w:rFonts w:cs="Arial Narrow" w:ascii="Arial Narrow" w:hAnsi="Arial Narrow"/>
        <w:sz w:val="8"/>
      </w:rPr>
      <w:t>FORM CANADIAN ANNEX</w:t>
    </w:r>
  </w:p>
  <w:p>
    <w:pPr>
      <w:pStyle w:val="Normal"/>
      <w:tabs>
        <w:tab w:val="clear" w:pos="720"/>
        <w:tab w:val="left" w:pos="5310" w:leader="none"/>
      </w:tabs>
      <w:ind w:end="198"/>
      <w:jc w:val="both"/>
      <w:rPr>
        <w:rFonts w:ascii="Arial Narrow" w:hAnsi="Arial Narrow" w:cs="Arial Narrow"/>
        <w:sz w:val="8"/>
      </w:rPr>
    </w:pPr>
    <w:r>
      <w:rPr>
        <w:rFonts w:cs="Arial Narrow" w:ascii="Arial Narrow" w:hAnsi="Arial Narrow"/>
        <w:sz w:val="8"/>
      </w:rPr>
      <w:t>FORM DATE 8/1/95</w:t>
    </w:r>
  </w:p>
  <w:p>
    <w:pPr>
      <w:pStyle w:val="Normal"/>
      <w:tabs>
        <w:tab w:val="clear" w:pos="720"/>
        <w:tab w:val="left" w:pos="5310" w:leader="none"/>
      </w:tabs>
      <w:ind w:end="198"/>
      <w:jc w:val="both"/>
      <w:rPr>
        <w:rFonts w:ascii="Arial Narrow" w:hAnsi="Arial Narrow" w:cs="Arial Narrow"/>
        <w:sz w:val="8"/>
      </w:rPr>
    </w:pPr>
    <w:r>
      <w:rPr>
        <w:rFonts w:cs="Arial Narrow" w:ascii="Arial Narrow" w:hAnsi="Arial Narrow"/>
        <w:sz w:val="8"/>
      </w:rPr>
    </w:r>
  </w:p>
  <w:p>
    <w:pPr>
      <w:pStyle w:val="Footer"/>
      <w:jc w:val="center"/>
      <w:rPr/>
    </w:pPr>
    <w:r>
      <w:rPr>
        <w:rFonts w:cs="Times New Roman" w:ascii="Times New Roman" w:hAnsi="Times New Roman"/>
        <w:sz w:val="16"/>
      </w:rPr>
      <w:t xml:space="preserve">Page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2</w:t>
    </w:r>
    <w:r>
      <w:rPr>
        <w:rStyle w:val="PageNumber"/>
        <w:sz w:val="16"/>
        <w:rFonts w:cs="Times New Roman" w:ascii="Times New Roman" w:hAnsi="Times New Roman"/>
      </w:rPr>
      <w:fldChar w:fldCharType="end"/>
    </w:r>
    <w:r>
      <w:rPr>
        <w:rStyle w:val="PageNumber"/>
        <w:rFonts w:cs="Times New Roman" w:ascii="Times New Roman" w:hAnsi="Times New Roman"/>
        <w:sz w:val="16"/>
      </w:rPr>
      <w:t xml:space="preserve"> of 2</w:t>
    </w:r>
  </w:p>
  <w:p>
    <w:pPr>
      <w:pStyle w:val="Footer"/>
      <w:jc w:val="center"/>
      <w:rPr/>
    </w:pPr>
    <w:r>
      <w:rPr>
        <w:rStyle w:val="PageNumber"/>
        <w:rFonts w:cs="Times New Roman" w:ascii="Times New Roman" w:hAnsi="Times New Roman"/>
        <w:sz w:val="16"/>
      </w:rPr>
      <w:t>Canadian Annex</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sz w:val="16"/>
      </w:rPr>
      <w:t xml:space="preserve">Page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1</w:t>
    </w:r>
    <w:r>
      <w:rPr>
        <w:rStyle w:val="PageNumber"/>
        <w:sz w:val="16"/>
        <w:rFonts w:cs="Times New Roman" w:ascii="Times New Roman" w:hAnsi="Times New Roman"/>
      </w:rPr>
      <w:fldChar w:fldCharType="end"/>
    </w:r>
    <w:r>
      <w:rPr>
        <w:rStyle w:val="PageNumber"/>
        <w:rFonts w:cs="Times New Roman" w:ascii="Times New Roman" w:hAnsi="Times New Roman"/>
        <w:sz w:val="16"/>
      </w:rPr>
      <w:t xml:space="preserve"> of 2</w:t>
    </w:r>
  </w:p>
  <w:p>
    <w:pPr>
      <w:pStyle w:val="Footer"/>
      <w:jc w:val="center"/>
      <w:rPr/>
    </w:pPr>
    <w:r>
      <w:rPr>
        <w:rStyle w:val="PageNumber"/>
        <w:rFonts w:cs="Times New Roman" w:ascii="Times New Roman" w:hAnsi="Times New Roman"/>
        <w:sz w:val="16"/>
      </w:rPr>
      <w:t>Canadian Annex</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216"/>
      <w:jc w:val="end"/>
      <w:rPr>
        <w:rFonts w:ascii="Arial Narrow" w:hAnsi="Arial Narrow" w:cs="Arial Narrow"/>
        <w:b/>
        <w:sz w:val="8"/>
        <w:u w:val="single"/>
      </w:rPr>
    </w:pPr>
    <w:r>
      <w:rPr>
        <w:rFonts w:cs="Arial Narrow" w:ascii="Arial Narrow" w:hAnsi="Arial Narrow"/>
        <w:b/>
        <w:sz w:val="8"/>
        <w:u w:val="single"/>
      </w:rPr>
      <w:t>ENA/Canadian Counterparty</w:t>
    </w:r>
  </w:p>
  <w:p>
    <w:pPr>
      <w:pStyle w:val="Normal"/>
      <w:jc w:val="center"/>
      <w:rPr>
        <w:rFonts w:ascii="Arial Narrow" w:hAnsi="Arial Narrow" w:cs="Arial Narrow"/>
        <w:b/>
        <w:sz w:val="18"/>
        <w:u w:val="single"/>
      </w:rPr>
    </w:pPr>
    <w:r>
      <w:rPr>
        <w:rFonts w:cs="Arial Narrow" w:ascii="Arial Narrow" w:hAnsi="Arial Narrow"/>
        <w:b/>
        <w:sz w:val="18"/>
        <w:u w:val="single"/>
      </w:rPr>
      <w:t>CANADIAN ANNEX</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rPr>
      <w:t>ADDITIONAL TERMS FOR CANADIAN COUNTERPARTIES</w:t>
    </w:r>
  </w:p>
  <w:p>
    <w:pPr>
      <w:pStyle w:val="Normal"/>
      <w:jc w:val="cent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w:hAnsi="TIMES" w:cs="TIMES"/>
      <w:sz w:val="26"/>
    </w:rPr>
  </w:style>
  <w:style w:type="paragraph" w:styleId="Header">
    <w:name w:val="header"/>
    <w:basedOn w:val="Normal"/>
    <w:pPr>
      <w:tabs>
        <w:tab w:val="clear" w:pos="720"/>
        <w:tab w:val="center" w:pos="4320" w:leader="none"/>
        <w:tab w:val="right" w:pos="8640" w:leader="none"/>
      </w:tabs>
    </w:pPr>
    <w:rPr>
      <w:rFonts w:ascii="TIMES" w:hAnsi="TIMES" w:cs="TIMES"/>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2000-09-13T12:16:00Z</dcterms:created>
  <dc:creator>Susan L. Wadle</dc:creator>
  <dc:description/>
  <dc:language>en-CA</dc:language>
  <cp:lastModifiedBy>Tiffany Williams</cp:lastModifiedBy>
  <cp:lastPrinted>2000-09-13T09:36:00Z</cp:lastPrinted>
  <dcterms:modified xsi:type="dcterms:W3CDTF">2000-09-13T12:16:00Z</dcterms:modified>
  <cp:revision>2</cp:revision>
  <dc:subject/>
  <dc:title>This Canadian Annex supplements, forms part of, and is incorporated into the Confirmation to which this Canadian Annex is attached.  Until a Master Agreement is executed by the parties, this Canadian Annex will set forth additional terms and conditions go</dc:title>
</cp:coreProperties>
</file>