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2"/>
        </w:numPr>
        <w:rPr>
          <w:b/>
          <w:sz w:val="24"/>
          <w:u w:val="single"/>
        </w:rPr>
      </w:pPr>
      <w:r>
        <w:rPr>
          <w:b/>
          <w:sz w:val="24"/>
          <w:u w:val="single"/>
        </w:rPr>
        <w:t>CANADA</w:t>
      </w:r>
    </w:p>
    <w:p>
      <w:pPr>
        <w:pStyle w:val="Normal"/>
        <w:rPr>
          <w:b/>
          <w:sz w:val="24"/>
          <w:u w:val="single"/>
        </w:rPr>
      </w:pPr>
      <w:r>
        <w:rPr>
          <w:b/>
          <w:sz w:val="24"/>
          <w:u w:val="single"/>
        </w:rPr>
      </w:r>
    </w:p>
    <w:p>
      <w:pPr>
        <w:pStyle w:val="Heading1"/>
        <w:numPr>
          <w:ilvl w:val="0"/>
          <w:numId w:val="3"/>
        </w:numPr>
        <w:rPr>
          <w:rFonts w:ascii="Times New Roman" w:hAnsi="Times New Roman" w:cs="Times New Roman"/>
          <w:sz w:val="24"/>
        </w:rPr>
      </w:pPr>
      <w:r>
        <w:rPr>
          <w:rFonts w:cs="Times New Roman" w:ascii="Times New Roman" w:hAnsi="Times New Roman"/>
          <w:b/>
          <w:sz w:val="24"/>
        </w:rPr>
        <w:t xml:space="preserve">Capacity: </w:t>
      </w:r>
      <w:r>
        <w:rPr>
          <w:rFonts w:cs="Times New Roman" w:ascii="Times New Roman" w:hAnsi="Times New Roman"/>
          <w:sz w:val="24"/>
        </w:rPr>
        <w:t xml:space="preserve">Assuming that the Credit Product is not itself a regulated product (e.g. insurance), general business corporations will have the same capacity to enter into the Credit Product as they have to enter into conventional risk management products.  Capacity will, however need to be assessed on a case by case basis.  Where the Credit Product is purchased for use as a risk management tool, special entities, such as the Crown, Crown corporations, municipalities, pension funds, trusts, etc., may lack capacity to enter into transactions in the Credit Product.  Where such an entity is the seller of the Credit Product, the issue of capacity and authority will be dependent both on the characterisation of the Credit Product and any restrictions applicable to the special entity.  In each instance, capacity and authority of a Counterparty should be reviewed before commencing to trade with a Canadian Counterparty in the Credit Product.  If a transaction is </w:t>
      </w:r>
      <w:r>
        <w:rPr>
          <w:rFonts w:cs="Times New Roman" w:ascii="Times New Roman" w:hAnsi="Times New Roman"/>
          <w:i/>
          <w:sz w:val="24"/>
        </w:rPr>
        <w:t>ultra vires</w:t>
      </w:r>
      <w:r>
        <w:rPr>
          <w:rFonts w:cs="Times New Roman" w:ascii="Times New Roman" w:hAnsi="Times New Roman"/>
          <w:sz w:val="24"/>
        </w:rPr>
        <w:t xml:space="preserve">, it may be void and Enron may not be able to enforce its rights under the Credit Product.  If the Credit Product constituted insurance, it could only be sold by an authorised insurance company. </w:t>
      </w:r>
    </w:p>
    <w:p>
      <w:pPr>
        <w:pStyle w:val="Heading1"/>
        <w:rPr>
          <w:rFonts w:ascii="Times New Roman" w:hAnsi="Times New Roman" w:cs="Times New Roman"/>
          <w:sz w:val="24"/>
        </w:rPr>
      </w:pPr>
      <w:r>
        <w:rPr>
          <w:rFonts w:cs="Times New Roman" w:ascii="Times New Roman" w:hAnsi="Times New Roman"/>
          <w:b/>
          <w:sz w:val="24"/>
        </w:rPr>
        <w:t xml:space="preserve">Regulatory: </w:t>
      </w:r>
      <w:r>
        <w:rPr>
          <w:rFonts w:cs="Times New Roman" w:ascii="Times New Roman" w:hAnsi="Times New Roman"/>
          <w:sz w:val="24"/>
        </w:rPr>
        <w:t>Assuming that the Credit Product is neither a security nor insurance, no registrations or licences will be required under applicable Canadian law to offer the Credit Product to Counterparties resident in Alberta or Ontario.  Where, however, Enron undertakes activities in Alberta or Ontario, including certain marketing activities, it would be carrying on business in those jurisdictions and therefore need to register as an extra-provincial corporation under applicable extra-provincial corporations statutes.  Failure to register is an offence and would preclude Enron bringing any actions in the Alberta or Ontario courts.  The Credit Product will not be characterised as a security under Ontario or Alberta law.  ECTRIC or ENA will not be deemed to be resident in Canada simply by trading the Credit Product on the internet, although this could be different if Enron established a server in Canada.</w:t>
      </w:r>
    </w:p>
    <w:p>
      <w:pPr>
        <w:pStyle w:val="Heading1"/>
        <w:rPr>
          <w:rFonts w:ascii="Times New Roman" w:hAnsi="Times New Roman" w:cs="Times New Roman"/>
          <w:sz w:val="24"/>
        </w:rPr>
      </w:pPr>
      <w:r>
        <w:rPr>
          <w:rFonts w:cs="Times New Roman" w:ascii="Times New Roman" w:hAnsi="Times New Roman"/>
          <w:b/>
          <w:sz w:val="24"/>
        </w:rPr>
        <w:t xml:space="preserve">Insurance: </w:t>
      </w:r>
      <w:r>
        <w:rPr>
          <w:rFonts w:cs="Times New Roman" w:ascii="Times New Roman" w:hAnsi="Times New Roman"/>
          <w:sz w:val="24"/>
        </w:rPr>
        <w:t xml:space="preserve">There is a significant risk that the Credit Product would constitute insurance business and that Enron would be characterised as conducting an insurance business under applicable Canadian law.  A foreign company may only lawfully conduct insurance business in Canada if it obtains an order from the Superintendent of Financial Institutions and is authorised as an insurer in the provinces where it proposes to carry an insurance business.  If the credit product was insurance and the seller was not authorised as an insurer, the contract would be unenforceable by the seller.  Enron is therefore recommended to seek the view of the relevant regulator before commencing business although it cannot be guaranteed that the Superintendent of Financial Institutions would come to a view.  If the Credit Product is insurance then there may be difficulties in a non-Canadian entity obtaining the requisite order from the Superintendent, particularly if the Enron entity offering to Credit Product in Canada was not authorised as an insurance company in its home jurisdiction.  Breach of the relevant legislation is an offence and may lead to result in fines. </w:t>
      </w:r>
    </w:p>
    <w:p>
      <w:pPr>
        <w:pStyle w:val="Heading1"/>
        <w:rPr>
          <w:rFonts w:ascii="Times New Roman" w:hAnsi="Times New Roman" w:cs="Times New Roman"/>
          <w:sz w:val="24"/>
        </w:rPr>
      </w:pPr>
      <w:r>
        <w:rPr>
          <w:rFonts w:cs="Times New Roman" w:ascii="Times New Roman" w:hAnsi="Times New Roman"/>
          <w:b/>
          <w:sz w:val="24"/>
        </w:rPr>
        <w:t>Securities:</w:t>
      </w:r>
      <w:r>
        <w:rPr>
          <w:rFonts w:cs="Times New Roman" w:ascii="Times New Roman" w:hAnsi="Times New Roman"/>
          <w:sz w:val="24"/>
        </w:rPr>
        <w:t xml:space="preserve"> Whilst the provincial securities laws define a security in an inclusive and broad manner, the Credit Product does not squarely fall within any one of the enumerated descriptions of a security, and in Canadian counsel’s opinion would not be characterised as a security.</w:t>
      </w:r>
    </w:p>
    <w:p>
      <w:pPr>
        <w:pStyle w:val="Heading1"/>
        <w:rPr>
          <w:rFonts w:ascii="Times New Roman" w:hAnsi="Times New Roman" w:cs="Times New Roman"/>
          <w:sz w:val="24"/>
        </w:rPr>
      </w:pPr>
      <w:r>
        <w:rPr>
          <w:rFonts w:cs="Times New Roman" w:ascii="Times New Roman" w:hAnsi="Times New Roman"/>
          <w:b/>
          <w:sz w:val="24"/>
        </w:rPr>
        <w:t xml:space="preserve">Guarantee: </w:t>
      </w:r>
      <w:r>
        <w:rPr>
          <w:rFonts w:cs="Times New Roman" w:ascii="Times New Roman" w:hAnsi="Times New Roman"/>
          <w:sz w:val="24"/>
        </w:rPr>
        <w:t>The Credit Product would not be a guarantee under applicable Canadian law.</w:t>
      </w:r>
    </w:p>
    <w:p>
      <w:pPr>
        <w:pStyle w:val="Heading1"/>
        <w:rPr>
          <w:rFonts w:ascii="Times New Roman" w:hAnsi="Times New Roman" w:cs="Times New Roman"/>
          <w:sz w:val="24"/>
        </w:rPr>
      </w:pPr>
      <w:r>
        <w:rPr>
          <w:rFonts w:cs="Times New Roman" w:ascii="Times New Roman" w:hAnsi="Times New Roman"/>
          <w:b/>
          <w:sz w:val="24"/>
        </w:rPr>
        <w:t xml:space="preserve">Gaming: </w:t>
      </w:r>
      <w:r>
        <w:rPr>
          <w:rFonts w:cs="Times New Roman" w:ascii="Times New Roman" w:hAnsi="Times New Roman"/>
          <w:sz w:val="24"/>
        </w:rPr>
        <w:t xml:space="preserve">The Credit Product would not be a gaming contract in Ontario.  The Gaming Acts remain in force in Alberta; however, it is not likely that the Credit Product would be characterised as a gaming contract under Albertan law.  The </w:t>
      </w:r>
      <w:r>
        <w:rPr>
          <w:rFonts w:cs="Times New Roman" w:ascii="Times New Roman" w:hAnsi="Times New Roman"/>
          <w:i/>
          <w:sz w:val="24"/>
        </w:rPr>
        <w:t>Criminal Code</w:t>
      </w:r>
      <w:r>
        <w:rPr>
          <w:rFonts w:cs="Times New Roman" w:ascii="Times New Roman" w:hAnsi="Times New Roman"/>
          <w:sz w:val="24"/>
        </w:rPr>
        <w:t xml:space="preserve"> of Canada may (but is unlikely to) apply to the Credit Product if it constituted a bet.  If the Credit Product was held to be a gaming contract, it would be null and void.  If the Credit Product was a bet it would be a criminal offence for Enron to offer it in Canada. </w:t>
      </w:r>
    </w:p>
    <w:p>
      <w:pPr>
        <w:pStyle w:val="Heading1"/>
        <w:rPr>
          <w:rFonts w:ascii="Times New Roman" w:hAnsi="Times New Roman" w:cs="Times New Roman"/>
          <w:sz w:val="24"/>
        </w:rPr>
      </w:pPr>
      <w:r>
        <w:rPr>
          <w:rFonts w:cs="Times New Roman" w:ascii="Times New Roman" w:hAnsi="Times New Roman"/>
          <w:b/>
          <w:sz w:val="24"/>
        </w:rPr>
        <w:t xml:space="preserve">Confidentiality and Insider Dealing: </w:t>
      </w:r>
      <w:r>
        <w:rPr>
          <w:rFonts w:cs="Times New Roman" w:ascii="Times New Roman" w:hAnsi="Times New Roman"/>
          <w:i/>
          <w:sz w:val="24"/>
          <w:u w:val="single"/>
        </w:rPr>
        <w:t>Confidentiality</w:t>
      </w:r>
      <w:r>
        <w:rPr>
          <w:rFonts w:cs="Times New Roman" w:ascii="Times New Roman" w:hAnsi="Times New Roman"/>
          <w:sz w:val="24"/>
        </w:rPr>
        <w:t xml:space="preserve">: If Enron receives confidential information from a Counterparty or a Reference Entity and uses it for its own purposes with knowledge, or wilful blindness, of the fact that the information is subject to a duty of confidentiality, Enron would be likely to be liable for a breach of a duty of confidentiality.  Similarly, if the Counterparty is in a fiduciary relationship with a Reference Entity, and provides confidential information to Enron in breach of that duty, and Enron is aware of the Counterparty’s breach, Enron could be found to have participated in the breach and be liable as a fiduciary.  Where confidential information is provided these obligations is on the confidee to show that the use to which the information is put is permitted.  </w:t>
      </w:r>
    </w:p>
    <w:p>
      <w:pPr>
        <w:pStyle w:val="Normal"/>
        <w:ind w:start="709" w:end="0"/>
        <w:rPr/>
      </w:pPr>
      <w:r>
        <w:rPr>
          <w:i/>
          <w:sz w:val="24"/>
          <w:u w:val="single"/>
        </w:rPr>
        <w:t>Insider dealing</w:t>
      </w:r>
      <w:r>
        <w:rPr>
          <w:sz w:val="24"/>
        </w:rPr>
        <w:t>: While dealing in the Credit Product is not covered by the insider dealing provisions of provincial Securities Acts, those Acts contain provisions that create obligations on Enron not to disclose (or trade in securities based on) previously undisclosed material facts or changes that it may possess with respect to any reporting issuer of securities.  Enron may breach these provisions if it adjusts the price of a Credit Product based on such information although this is considered unlikely.  Criminal and civil sanctions apply to such breach.</w:t>
      </w:r>
    </w:p>
    <w:p>
      <w:pPr>
        <w:pStyle w:val="Normal"/>
        <w:ind w:start="709" w:end="0"/>
        <w:rPr>
          <w:sz w:val="24"/>
        </w:rPr>
      </w:pPr>
      <w:r>
        <w:rPr>
          <w:sz w:val="24"/>
        </w:rPr>
      </w:r>
    </w:p>
    <w:p>
      <w:pPr>
        <w:pStyle w:val="Heading1"/>
        <w:rPr>
          <w:rFonts w:ascii="Times New Roman" w:hAnsi="Times New Roman" w:cs="Times New Roman"/>
          <w:sz w:val="24"/>
        </w:rPr>
      </w:pPr>
      <w:r>
        <w:rPr>
          <w:rFonts w:cs="Times New Roman" w:ascii="Times New Roman" w:hAnsi="Times New Roman"/>
          <w:b/>
          <w:sz w:val="24"/>
        </w:rPr>
        <w:t xml:space="preserve">Trading Relationships and Reference Entity Claims: </w:t>
      </w:r>
      <w:r>
        <w:rPr>
          <w:rFonts w:cs="Times New Roman" w:ascii="Times New Roman" w:hAnsi="Times New Roman"/>
          <w:sz w:val="24"/>
        </w:rPr>
        <w:t>While Enron would not be restricted from enforcing its legal rights against a Reference Entity, in a lawful manner, a deliberate unlawful act by Enron or its Counterparty to bring about a Bankruptcy Event or other negative impact on a Reference Entity could give rise to liability for intentional interference by that person with the economic interests of a Reference Entity.  Defamation could also be relevant if Enron makes false statements about the credit of Reference Entities.</w:t>
      </w:r>
    </w:p>
    <w:p>
      <w:pPr>
        <w:pStyle w:val="Heading1"/>
        <w:rPr>
          <w:rFonts w:ascii="Times New Roman" w:hAnsi="Times New Roman" w:cs="Times New Roman"/>
          <w:sz w:val="24"/>
        </w:rPr>
      </w:pPr>
      <w:r>
        <w:rPr>
          <w:rFonts w:cs="Times New Roman" w:ascii="Times New Roman" w:hAnsi="Times New Roman"/>
          <w:b/>
          <w:sz w:val="24"/>
        </w:rPr>
        <w:t xml:space="preserve">Tax: </w:t>
      </w:r>
      <w:r>
        <w:rPr>
          <w:rFonts w:cs="Times New Roman" w:ascii="Times New Roman" w:hAnsi="Times New Roman"/>
          <w:sz w:val="24"/>
        </w:rPr>
        <w:t>If the payments made by the Canadian counterparty to Enron could be considered a “fee, commission or other amount in respect of services rendered in Canada, of any nature whatever” there is a 15% withholding requirement in prepayment of Canadian income tax.  Generally, however, the only exposure to Canadian income tax to which Enron would be subject would be if Enron is considered to be carrying on business in Canada from a permanent establishment there.  However, recent amendments to the Income Tax Act will require Enron to file a tax return in Canada if it carries on business in Canada or relies on a treaty exemption from Canadian income tax.  Failure to file a return is an offence.</w:t>
      </w:r>
    </w:p>
    <w:p>
      <w:pPr>
        <w:pStyle w:val="Normal"/>
        <w:ind w:start="709" w:end="0"/>
        <w:rPr>
          <w:sz w:val="24"/>
        </w:rPr>
      </w:pPr>
      <w:r>
        <w:rPr>
          <w:sz w:val="24"/>
        </w:rPr>
        <w:t>Insurance premium taxes are levied in Ontario at 8% and Alberta at 2-3%, depending on the type of insurance.  In addition, Canadian goods and services tax, Quebec sales tax and harmonised sales tax are forms of value added tax on taxable supplies in Canada.  For these purposes a supply is deemed to be made in Canada if the service is, or is to be, performed in whole or in part in Canada.  The supply of a service made by a non-resident person is deemed to be made outside of Canada unless a supply is made in the course of a business carried on in Canada.  In addition, the supply of the credit products in Canada may be considered a financial service for the purposes of the goods and services tax legislation and therefore a specifically exempted supply.</w:t>
      </w:r>
    </w:p>
    <w:p>
      <w:pPr>
        <w:pStyle w:val="Normal"/>
        <w:ind w:start="709" w:end="0"/>
        <w:rPr>
          <w:sz w:val="24"/>
        </w:rPr>
      </w:pPr>
      <w:r>
        <w:rPr>
          <w:sz w:val="24"/>
        </w:rPr>
      </w:r>
    </w:p>
    <w:p>
      <w:pPr>
        <w:pStyle w:val="Heading1"/>
        <w:rPr>
          <w:rFonts w:ascii="Times New Roman" w:hAnsi="Times New Roman" w:cs="Times New Roman"/>
          <w:sz w:val="24"/>
        </w:rPr>
      </w:pPr>
      <w:r>
        <w:rPr>
          <w:rFonts w:cs="Times New Roman" w:ascii="Times New Roman" w:hAnsi="Times New Roman"/>
          <w:b/>
          <w:sz w:val="24"/>
        </w:rPr>
        <w:t>Governing law:</w:t>
      </w:r>
      <w:r>
        <w:rPr>
          <w:rFonts w:cs="Times New Roman" w:ascii="Times New Roman" w:hAnsi="Times New Roman"/>
          <w:sz w:val="24"/>
        </w:rPr>
        <w:t xml:space="preserve">  The choice of English law will be given effect to by Albertan and Ontario courts provided the above is bona fide and not contrary to public policy, although English law would only apply to interpret and determining the substantive rights and obligations of the parties under the contract.  Procedural matters will be governed by the law of the forum.</w:t>
      </w:r>
    </w:p>
    <w:p>
      <w:pPr>
        <w:pStyle w:val="Normal"/>
        <w:rPr>
          <w:rFonts w:ascii="Times New Roman" w:hAnsi="Times New Roman" w:cs="Times New Roman"/>
          <w:sz w:val="24"/>
        </w:rPr>
      </w:pPr>
      <w:r>
        <w:rPr>
          <w:rFonts w:cs="Times New Roman"/>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harter BT">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09"/>
        </w:tabs>
        <w:ind w:start="709" w:hanging="708"/>
      </w:pPr>
    </w:lvl>
    <w:lvl w:ilvl="1">
      <w:start w:val="1"/>
      <w:pStyle w:val="Heading2"/>
      <w:numFmt w:val="decimal"/>
      <w:lvlText w:val="%1.%2"/>
      <w:lvlJc w:val="start"/>
      <w:pPr>
        <w:tabs>
          <w:tab w:val="num" w:pos="709"/>
        </w:tabs>
        <w:ind w:start="709" w:hanging="709"/>
      </w:pPr>
    </w:lvl>
    <w:lvl w:ilvl="2">
      <w:start w:val="1"/>
      <w:pStyle w:val="Heading3"/>
      <w:numFmt w:val="upperLetter"/>
      <w:lvlText w:val="(%3)"/>
      <w:lvlJc w:val="start"/>
      <w:pPr>
        <w:tabs>
          <w:tab w:val="num" w:pos="1418"/>
        </w:tabs>
        <w:ind w:start="1418" w:hanging="709"/>
      </w:pPr>
    </w:lvl>
    <w:lvl w:ilvl="3">
      <w:start w:val="1"/>
      <w:pStyle w:val="Heading4"/>
      <w:numFmt w:val="lowerRoman"/>
      <w:lvlText w:val="(%4)"/>
      <w:lvlJc w:val="start"/>
      <w:pPr>
        <w:tabs>
          <w:tab w:val="num" w:pos="2138"/>
        </w:tabs>
        <w:ind w:start="2126" w:hanging="708"/>
      </w:pPr>
    </w:lvl>
    <w:lvl w:ilvl="4">
      <w:start w:val="1"/>
      <w:pStyle w:val="Heading5"/>
      <w:numFmt w:val="lowerLetter"/>
      <w:lvlText w:val="(%5)"/>
      <w:lvlJc w:val="start"/>
      <w:pPr>
        <w:tabs>
          <w:tab w:val="num" w:pos="2835"/>
        </w:tabs>
        <w:ind w:start="2835" w:hanging="709"/>
      </w:pPr>
    </w:lvl>
    <w:lvl w:ilvl="5">
      <w:start w:val="1"/>
      <w:pStyle w:val="Heading6"/>
      <w:numFmt w:val="decimal"/>
      <w:lvlText w:val="(%6)"/>
      <w:lvlJc w:val="start"/>
      <w:pPr>
        <w:tabs>
          <w:tab w:val="num" w:pos="3544"/>
        </w:tabs>
        <w:ind w:start="3544" w:hanging="709"/>
      </w:pPr>
    </w:lvl>
    <w:lvl w:ilvl="6">
      <w:start w:val="1"/>
      <w:pStyle w:val="Heading7"/>
      <w:numFmt w:val="upperLetter"/>
      <w:lvlText w:val="(%7)"/>
      <w:lvlJc w:val="start"/>
      <w:pPr>
        <w:tabs>
          <w:tab w:val="num" w:pos="4253"/>
        </w:tabs>
        <w:ind w:start="4253" w:hanging="709"/>
      </w:pPr>
    </w:lvl>
    <w:lvl w:ilvl="7">
      <w:start w:val="1"/>
      <w:pStyle w:val="Heading8"/>
      <w:numFmt w:val="decimal"/>
      <w:lvlText w:val="(%8)"/>
      <w:lvlJc w:val="start"/>
      <w:pPr>
        <w:tabs>
          <w:tab w:val="num" w:pos="4961"/>
        </w:tabs>
        <w:ind w:start="4961" w:hanging="708"/>
      </w:pPr>
    </w:lvl>
    <w:lvl w:ilvl="8">
      <w:start w:val="1"/>
      <w:pStyle w:val="Heading9"/>
      <w:numFmt w:val="lowerRoman"/>
      <w:lvlText w:val="(%9)"/>
      <w:lvlJc w:val="start"/>
      <w:pPr>
        <w:tabs>
          <w:tab w:val="num" w:pos="5681"/>
        </w:tabs>
        <w:ind w:start="5670" w:hanging="709"/>
      </w:pPr>
    </w:lvl>
  </w:abstractNum>
  <w:abstractNum w:abstractNumId="2">
    <w:lvl w:ilvl="0">
      <w:start w:val="7"/>
      <w:numFmt w:val="upperLetter"/>
      <w:lvlText w:val="%1."/>
      <w:lvlJc w:val="start"/>
      <w:pPr>
        <w:tabs>
          <w:tab w:val="num" w:pos="720"/>
        </w:tabs>
        <w:ind w:start="720" w:hanging="720"/>
      </w:pPr>
      <w:rPr>
        <w:u w:val="none"/>
        <w:b w:val="false"/>
      </w:r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numPr>
        <w:ilvl w:val="0"/>
        <w:numId w:val="1"/>
      </w:numPr>
      <w:tabs>
        <w:tab w:val="clear" w:pos="720"/>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ind w:hanging="709" w:start="0" w:end="0"/>
      <w:jc w:val="both"/>
      <w:outlineLvl w:val="0"/>
    </w:pPr>
    <w:rPr>
      <w:rFonts w:ascii="Charter BT" w:hAnsi="Charter BT" w:cs="Charter BT"/>
      <w:kern w:val="2"/>
    </w:rPr>
  </w:style>
  <w:style w:type="paragraph" w:styleId="Heading2">
    <w:name w:val="heading 2"/>
    <w:basedOn w:val="Normal"/>
    <w:next w:val="Normal"/>
    <w:qFormat/>
    <w:pPr>
      <w:numPr>
        <w:ilvl w:val="1"/>
        <w:numId w:val="1"/>
      </w:numPr>
      <w:tabs>
        <w:tab w:val="clear" w:pos="720"/>
        <w:tab w:val="left" w:pos="1418" w:leader="none"/>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jc w:val="both"/>
      <w:outlineLvl w:val="1"/>
    </w:pPr>
    <w:rPr>
      <w:rFonts w:ascii="Charter BT" w:hAnsi="Charter BT" w:cs="Charter BT"/>
      <w:b/>
      <w:kern w:val="2"/>
    </w:rPr>
  </w:style>
  <w:style w:type="paragraph" w:styleId="Heading3">
    <w:name w:val="heading 3"/>
    <w:basedOn w:val="Normal"/>
    <w:next w:val="Normal"/>
    <w:qFormat/>
    <w:pPr>
      <w:numPr>
        <w:ilvl w:val="2"/>
        <w:numId w:val="1"/>
      </w:numPr>
      <w:tabs>
        <w:tab w:val="clear" w:pos="720"/>
        <w:tab w:val="left" w:pos="2126"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jc w:val="both"/>
      <w:outlineLvl w:val="2"/>
    </w:pPr>
    <w:rPr>
      <w:rFonts w:ascii="Charter BT" w:hAnsi="Charter BT" w:cs="Charter BT"/>
      <w:kern w:val="2"/>
    </w:rPr>
  </w:style>
  <w:style w:type="paragraph" w:styleId="Heading4">
    <w:name w:val="heading 4"/>
    <w:basedOn w:val="Normal"/>
    <w:next w:val="Normal"/>
    <w:qFormat/>
    <w:pPr>
      <w:numPr>
        <w:ilvl w:val="3"/>
        <w:numId w:val="1"/>
      </w:numPr>
      <w:tabs>
        <w:tab w:val="clear" w:pos="720"/>
        <w:tab w:val="left" w:pos="1418" w:leader="none"/>
        <w:tab w:val="left" w:pos="2835" w:leader="none"/>
        <w:tab w:val="left" w:pos="3544" w:leader="none"/>
        <w:tab w:val="left" w:pos="4253" w:leader="none"/>
        <w:tab w:val="left" w:pos="4961" w:leader="none"/>
        <w:tab w:val="left" w:pos="5670" w:leader="none"/>
        <w:tab w:val="right" w:pos="8363" w:leader="none"/>
      </w:tabs>
      <w:spacing w:lineRule="atLeast" w:line="280" w:before="0" w:after="280"/>
      <w:jc w:val="both"/>
      <w:outlineLvl w:val="3"/>
    </w:pPr>
    <w:rPr>
      <w:rFonts w:ascii="Charter BT" w:hAnsi="Charter BT" w:cs="Charter BT"/>
      <w:kern w:val="2"/>
    </w:rPr>
  </w:style>
  <w:style w:type="paragraph" w:styleId="Heading5">
    <w:name w:val="heading 5"/>
    <w:basedOn w:val="Normal"/>
    <w:next w:val="Normal"/>
    <w:qFormat/>
    <w:pPr>
      <w:numPr>
        <w:ilvl w:val="4"/>
        <w:numId w:val="1"/>
      </w:numPr>
      <w:tabs>
        <w:tab w:val="clear" w:pos="720"/>
        <w:tab w:val="left" w:pos="1418" w:leader="none"/>
        <w:tab w:val="left" w:pos="2126" w:leader="none"/>
        <w:tab w:val="left" w:pos="3544" w:leader="none"/>
        <w:tab w:val="left" w:pos="4253" w:leader="none"/>
        <w:tab w:val="left" w:pos="4961" w:leader="none"/>
        <w:tab w:val="left" w:pos="5670" w:leader="none"/>
        <w:tab w:val="right" w:pos="8363" w:leader="none"/>
      </w:tabs>
      <w:spacing w:lineRule="atLeast" w:line="280" w:before="0" w:after="280"/>
      <w:jc w:val="both"/>
      <w:outlineLvl w:val="4"/>
    </w:pPr>
    <w:rPr>
      <w:rFonts w:ascii="Charter BT" w:hAnsi="Charter BT" w:cs="Charter BT"/>
      <w:kern w:val="2"/>
    </w:rPr>
  </w:style>
  <w:style w:type="paragraph" w:styleId="Heading6">
    <w:name w:val="heading 6"/>
    <w:basedOn w:val="Normal"/>
    <w:next w:val="Normal"/>
    <w:qFormat/>
    <w:pPr>
      <w:numPr>
        <w:ilvl w:val="5"/>
        <w:numId w:val="1"/>
      </w:numPr>
      <w:tabs>
        <w:tab w:val="clear" w:pos="720"/>
        <w:tab w:val="left" w:pos="1418" w:leader="none"/>
        <w:tab w:val="left" w:pos="2126" w:leader="none"/>
        <w:tab w:val="left" w:pos="2835" w:leader="none"/>
        <w:tab w:val="left" w:pos="4253" w:leader="none"/>
        <w:tab w:val="left" w:pos="4961" w:leader="none"/>
        <w:tab w:val="left" w:pos="5670" w:leader="none"/>
        <w:tab w:val="right" w:pos="8363" w:leader="none"/>
      </w:tabs>
      <w:spacing w:lineRule="atLeast" w:line="280" w:before="0" w:after="280"/>
      <w:jc w:val="both"/>
      <w:outlineLvl w:val="5"/>
    </w:pPr>
    <w:rPr>
      <w:rFonts w:ascii="Charter BT" w:hAnsi="Charter BT" w:cs="Charter BT"/>
      <w:kern w:val="2"/>
    </w:rPr>
  </w:style>
  <w:style w:type="paragraph" w:styleId="Heading7">
    <w:name w:val="heading 7"/>
    <w:basedOn w:val="Normal"/>
    <w:next w:val="Normal"/>
    <w:qFormat/>
    <w:pPr>
      <w:numPr>
        <w:ilvl w:val="6"/>
        <w:numId w:val="1"/>
      </w:numPr>
      <w:tabs>
        <w:tab w:val="clear" w:pos="720"/>
        <w:tab w:val="left" w:pos="1418" w:leader="none"/>
        <w:tab w:val="left" w:pos="2126" w:leader="none"/>
        <w:tab w:val="left" w:pos="2835" w:leader="none"/>
        <w:tab w:val="left" w:pos="3544" w:leader="none"/>
        <w:tab w:val="left" w:pos="4961" w:leader="none"/>
        <w:tab w:val="left" w:pos="5670" w:leader="none"/>
        <w:tab w:val="right" w:pos="8363" w:leader="none"/>
      </w:tabs>
      <w:spacing w:lineRule="atLeast" w:line="280" w:before="0" w:after="280"/>
      <w:jc w:val="both"/>
      <w:outlineLvl w:val="6"/>
    </w:pPr>
    <w:rPr>
      <w:rFonts w:ascii="Charter BT" w:hAnsi="Charter BT" w:cs="Charter BT"/>
      <w:kern w:val="2"/>
    </w:rPr>
  </w:style>
  <w:style w:type="paragraph" w:styleId="Heading8">
    <w:name w:val="heading 8"/>
    <w:basedOn w:val="Normal"/>
    <w:next w:val="Normal"/>
    <w:qFormat/>
    <w:pPr>
      <w:numPr>
        <w:ilvl w:val="7"/>
        <w:numId w:val="1"/>
      </w:numPr>
      <w:tabs>
        <w:tab w:val="clear" w:pos="720"/>
        <w:tab w:val="left" w:pos="1418" w:leader="none"/>
        <w:tab w:val="left" w:pos="2126" w:leader="none"/>
        <w:tab w:val="left" w:pos="2835" w:leader="none"/>
        <w:tab w:val="left" w:pos="3544" w:leader="none"/>
        <w:tab w:val="left" w:pos="4253" w:leader="none"/>
        <w:tab w:val="left" w:pos="5670" w:leader="none"/>
        <w:tab w:val="right" w:pos="8363" w:leader="none"/>
      </w:tabs>
      <w:spacing w:lineRule="atLeast" w:line="280" w:before="0" w:after="280"/>
      <w:jc w:val="both"/>
      <w:outlineLvl w:val="7"/>
    </w:pPr>
    <w:rPr>
      <w:rFonts w:ascii="Charter BT" w:hAnsi="Charter BT" w:cs="Charter BT"/>
      <w:kern w:val="2"/>
    </w:rPr>
  </w:style>
  <w:style w:type="paragraph" w:styleId="Heading9">
    <w:name w:val="heading 9"/>
    <w:basedOn w:val="Normal"/>
    <w:next w:val="Normal"/>
    <w:qFormat/>
    <w:pPr>
      <w:numPr>
        <w:ilvl w:val="8"/>
        <w:numId w:val="1"/>
      </w:numPr>
      <w:tabs>
        <w:tab w:val="clear" w:pos="720"/>
        <w:tab w:val="left" w:pos="1418" w:leader="none"/>
        <w:tab w:val="left" w:pos="2126" w:leader="none"/>
        <w:tab w:val="left" w:pos="2835" w:leader="none"/>
        <w:tab w:val="left" w:pos="3544" w:leader="none"/>
        <w:tab w:val="left" w:pos="4253" w:leader="none"/>
        <w:tab w:val="left" w:pos="4961" w:leader="none"/>
        <w:tab w:val="right" w:pos="8363" w:leader="none"/>
      </w:tabs>
      <w:spacing w:lineRule="atLeast" w:line="280" w:before="0" w:after="280"/>
      <w:jc w:val="both"/>
      <w:outlineLvl w:val="8"/>
    </w:pPr>
    <w:rPr>
      <w:rFonts w:ascii="Charter BT" w:hAnsi="Charter BT" w:cs="Charter BT"/>
      <w:kern w:val="2"/>
    </w:rPr>
  </w:style>
  <w:style w:type="character" w:styleId="WW8Num2z0">
    <w:name w:val="WW8Num2z0"/>
    <w:qFormat/>
    <w:rPr>
      <w:b w:val="false"/>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2000-05-16T11:44:00Z</dcterms:created>
  <dc:creator>NEdmonds</dc:creator>
  <dc:description/>
  <dc:language>en-CA</dc:language>
  <cp:lastModifiedBy>NEdmonds</cp:lastModifiedBy>
  <dcterms:modified xsi:type="dcterms:W3CDTF">2000-05-16T11:45:00Z</dcterms:modified>
  <cp:revision>1</cp:revision>
  <dc:subject/>
  <dc:title>G</dc:title>
</cp:coreProperties>
</file>