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CANADIAN COUNTERPARTY</w:t>
      </w:r>
    </w:p>
    <w:p>
      <w:pPr>
        <w:pStyle w:val="Normal"/>
        <w:spacing w:lineRule="auto" w:line="360"/>
        <w:rPr/>
      </w:pPr>
      <w:r>
        <w:rPr>
          <w:b/>
        </w:rPr>
        <w:t>THIS CONTRACT FOR DIFFERENCES</w:t>
      </w:r>
      <w:r>
        <w:rPr/>
        <w:t xml:space="preserve"> made as of the _____ day of _________, 200__</w:t>
      </w:r>
    </w:p>
    <w:p>
      <w:pPr>
        <w:pStyle w:val="Normal"/>
        <w:spacing w:lineRule="auto" w:line="360"/>
        <w:rPr/>
      </w:pPr>
      <w:r>
        <w:rPr/>
      </w:r>
    </w:p>
    <w:p>
      <w:pPr>
        <w:pStyle w:val="Normal"/>
        <w:spacing w:lineRule="auto" w:line="360"/>
        <w:rPr>
          <w:b/>
        </w:rPr>
      </w:pPr>
      <w:r>
        <w:rPr>
          <w:b/>
        </w:rPr>
        <w:t>BETWEEN:</w:t>
      </w:r>
    </w:p>
    <w:p>
      <w:pPr>
        <w:pStyle w:val="Normal"/>
        <w:rPr/>
      </w:pPr>
      <w:r>
        <w:rPr/>
        <w:tab/>
        <w:tab/>
      </w:r>
      <w:r>
        <w:rPr>
          <w:b/>
        </w:rPr>
        <w:t>POWEREX CORP.</w:t>
      </w:r>
      <w:r>
        <w:rPr/>
        <w:t>, a corporation</w:t>
        <w:br/>
        <w:tab/>
        <w:tab/>
        <w:t>having its head office at Suite 1400 - 666 Burrard Street,</w:t>
        <w:br/>
        <w:tab/>
        <w:tab/>
        <w:t>Vancouver, British Columbia</w:t>
      </w:r>
    </w:p>
    <w:p>
      <w:pPr>
        <w:pStyle w:val="Normal"/>
        <w:spacing w:lineRule="auto" w:line="360"/>
        <w:rPr/>
      </w:pPr>
      <w:r>
        <w:rPr/>
        <w:tab/>
        <w:tab/>
        <w:t>(“Powerex”)</w:t>
      </w:r>
    </w:p>
    <w:p>
      <w:pPr>
        <w:pStyle w:val="Normal"/>
        <w:spacing w:lineRule="auto" w:line="360"/>
        <w:rPr>
          <w:b/>
        </w:rPr>
      </w:pPr>
      <w:r>
        <w:rPr>
          <w:b/>
        </w:rPr>
        <w:t>AND:</w:t>
      </w:r>
    </w:p>
    <w:p>
      <w:pPr>
        <w:pStyle w:val="Normal"/>
        <w:rPr/>
      </w:pPr>
      <w:r>
        <w:rPr/>
        <w:tab/>
        <w:tab/>
      </w:r>
      <w:r>
        <w:rPr>
          <w:rFonts w:ascii="Wingdings" w:hAnsi="Wingdings"/>
          <w:b/>
        </w:rPr>
        <w:sym w:font="Wingdings" w:char="75"/>
      </w:r>
      <w:r>
        <w:rPr/>
        <w:t>,</w:t>
        <w:br/>
        <w:tab/>
        <w:tab/>
        <w:t>having its head office at ___________________________</w:t>
        <w:br/>
        <w:tab/>
        <w:tab/>
        <w:t>_______________________________________________</w:t>
      </w:r>
    </w:p>
    <w:p>
      <w:pPr>
        <w:pStyle w:val="Normal"/>
        <w:spacing w:lineRule="auto" w:line="360"/>
        <w:rPr/>
      </w:pPr>
      <w:r>
        <w:rPr/>
        <w:tab/>
        <w:tab/>
        <w:t>(“Counterparty”)</w:t>
      </w:r>
    </w:p>
    <w:p>
      <w:pPr>
        <w:pStyle w:val="Normal"/>
        <w:spacing w:lineRule="auto" w:line="360"/>
        <w:rPr/>
      </w:pPr>
      <w:r>
        <w:rPr/>
      </w:r>
    </w:p>
    <w:p>
      <w:pPr>
        <w:pStyle w:val="Normal"/>
        <w:spacing w:lineRule="auto" w:line="360"/>
        <w:rPr/>
      </w:pPr>
      <w:r>
        <w:rPr>
          <w:b/>
        </w:rPr>
        <w:t>THIS AGREEMENT WITNESSES THAT</w:t>
      </w:r>
      <w:r>
        <w:rPr/>
        <w:t xml:space="preserve"> the Parties declare and agree as follows:</w:t>
      </w:r>
    </w:p>
    <w:p>
      <w:pPr>
        <w:pStyle w:val="Heading1"/>
        <w:spacing w:lineRule="auto" w:line="360"/>
        <w:ind w:hanging="0" w:start="0"/>
        <w:rPr/>
      </w:pPr>
      <w:bookmarkStart w:id="0" w:name="_Ref495135968"/>
      <w:r>
        <w:rPr/>
        <w:t>Definitions</w:t>
      </w:r>
      <w:bookmarkEnd w:id="0"/>
    </w:p>
    <w:p>
      <w:pPr>
        <w:pStyle w:val="Normal"/>
        <w:spacing w:lineRule="auto" w:line="360"/>
        <w:ind w:start="720" w:end="0"/>
        <w:rPr/>
      </w:pPr>
      <w:r>
        <w:rPr/>
        <w:t>In this Agreement, the following words and terms will have the following meanings:</w:t>
      </w:r>
    </w:p>
    <w:p>
      <w:pPr>
        <w:pStyle w:val="Heading2"/>
        <w:spacing w:lineRule="auto" w:line="360"/>
        <w:ind w:hanging="0" w:start="0"/>
        <w:rPr/>
      </w:pPr>
      <w:r>
        <w:rPr>
          <w:b/>
        </w:rPr>
        <w:t>“</w:t>
      </w:r>
      <w:r>
        <w:rPr>
          <w:b/>
        </w:rPr>
        <w:t>Agreement”</w:t>
      </w:r>
      <w:r>
        <w:rPr/>
        <w:t xml:space="preserve"> means this Agreement and, where the context requires, includes all telephone agreements (unless superceded by a Transaction Letter) and Transaction Letters entered pursuant to this Agreement.</w:t>
      </w:r>
    </w:p>
    <w:p>
      <w:pPr>
        <w:pStyle w:val="Heading2"/>
        <w:spacing w:lineRule="auto" w:line="360"/>
        <w:ind w:hanging="0" w:start="0"/>
        <w:rPr/>
      </w:pPr>
      <w:r>
        <w:rPr>
          <w:b/>
        </w:rPr>
        <w:t>“</w:t>
      </w:r>
      <w:r>
        <w:rPr>
          <w:b/>
        </w:rPr>
        <w:t>Authorized Representative”</w:t>
      </w:r>
      <w:r>
        <w:rPr/>
        <w:t xml:space="preserve"> means the representative designated by a Party pursuant to Section </w:t>
      </w:r>
      <w:r>
        <w:rPr/>
        <w:fldChar w:fldCharType="begin"/>
      </w:r>
      <w:r>
        <w:rPr/>
        <w:instrText xml:space="preserve"> REF _Ref495137730 \r \r \h </w:instrText>
      </w:r>
      <w:r>
        <w:rPr/>
        <w:fldChar w:fldCharType="separate"/>
      </w:r>
      <w:r>
        <w:rPr/>
        <w:t>3</w:t>
      </w:r>
      <w:r>
        <w:rPr/>
        <w:fldChar w:fldCharType="end"/>
      </w:r>
      <w:r>
        <w:rPr/>
        <w:t xml:space="preserve"> from time to time to act on that Party’s behalf in connection with a Transaction.</w:t>
      </w:r>
    </w:p>
    <w:p>
      <w:pPr>
        <w:pStyle w:val="Heading2"/>
        <w:spacing w:lineRule="auto" w:line="360"/>
        <w:ind w:hanging="0" w:start="0"/>
        <w:rPr/>
      </w:pPr>
      <w:r>
        <w:rPr>
          <w:b/>
        </w:rPr>
        <w:t>“</w:t>
      </w:r>
      <w:r>
        <w:rPr>
          <w:b/>
        </w:rPr>
        <w:t>Business Day”</w:t>
      </w:r>
      <w:r>
        <w:rPr/>
        <w:t xml:space="preserve"> means any day, excluding Saturdays, Sundays and any other days which are statutory holidays in the jurisdiction of the head office of either Party.</w:t>
      </w:r>
    </w:p>
    <w:p>
      <w:pPr>
        <w:pStyle w:val="Heading2"/>
        <w:spacing w:lineRule="auto" w:line="360"/>
        <w:ind w:hanging="0" w:start="0"/>
        <w:rPr/>
      </w:pPr>
      <w:r>
        <w:rPr>
          <w:b/>
        </w:rPr>
        <w:t>“</w:t>
      </w:r>
      <w:r>
        <w:rPr>
          <w:b/>
        </w:rPr>
        <w:t>Difference”</w:t>
      </w:r>
      <w:r>
        <w:rPr/>
        <w:t xml:space="preserve"> means with respect to a Settlement Hour the difference between the Fixed Price and the Pool Price or between the Pool Price and the Fixed Price, as the case may be, for that Settlement Hour.</w:t>
      </w:r>
    </w:p>
    <w:p>
      <w:pPr>
        <w:pStyle w:val="Heading2"/>
        <w:spacing w:lineRule="auto" w:line="360"/>
        <w:ind w:hanging="0" w:start="0"/>
        <w:rPr/>
      </w:pPr>
      <w:r>
        <w:rPr>
          <w:b/>
        </w:rPr>
        <w:t>“</w:t>
      </w:r>
      <w:r>
        <w:rPr>
          <w:b/>
        </w:rPr>
        <w:t>Fixed Price”</w:t>
      </w:r>
      <w:r>
        <w:rPr/>
        <w:t xml:space="preserve"> means with respect to a Settlement Hour the price specified for a Transaction as the “Fixed Price” for that hour.</w:t>
      </w:r>
    </w:p>
    <w:p>
      <w:pPr>
        <w:pStyle w:val="Heading2"/>
        <w:spacing w:lineRule="auto" w:line="360"/>
        <w:ind w:hanging="0" w:start="0"/>
        <w:rPr/>
      </w:pPr>
      <w:r>
        <w:rPr>
          <w:b/>
        </w:rPr>
        <w:t>“</w:t>
      </w:r>
      <w:r>
        <w:rPr>
          <w:b/>
        </w:rPr>
        <w:t xml:space="preserve">Fixed Price Payor” </w:t>
      </w:r>
      <w:r>
        <w:rPr/>
        <w:t>(sometimes also referred to as the Buyer) means the Party who, in respect of any Transaction, agrees to pay to the other Party the amount by which the Fixed Price exceeds the Pool Price in any Settlement Hour.</w:t>
      </w:r>
    </w:p>
    <w:p>
      <w:pPr>
        <w:pStyle w:val="Heading2"/>
        <w:spacing w:lineRule="auto" w:line="360"/>
        <w:ind w:hanging="0" w:start="0"/>
        <w:rPr/>
      </w:pPr>
      <w:r>
        <w:rPr>
          <w:b/>
        </w:rPr>
        <w:t>“</w:t>
      </w:r>
      <w:r>
        <w:rPr>
          <w:b/>
        </w:rPr>
        <w:t>Month”</w:t>
      </w:r>
      <w:r>
        <w:rPr/>
        <w:t xml:space="preserve"> means a calendar month.</w:t>
      </w:r>
    </w:p>
    <w:p>
      <w:pPr>
        <w:pStyle w:val="Heading2"/>
        <w:spacing w:lineRule="auto" w:line="360"/>
        <w:ind w:hanging="0" w:start="0"/>
        <w:rPr/>
      </w:pPr>
      <w:r>
        <w:rPr>
          <w:b/>
        </w:rPr>
        <w:t>“</w:t>
      </w:r>
      <w:r>
        <w:rPr>
          <w:b/>
        </w:rPr>
        <w:t>Notional MW.h’s”</w:t>
      </w:r>
      <w:r>
        <w:rPr/>
        <w:t xml:space="preserve"> means the quantity of energy in respect of which a Difference is agreed to be paid under a Transaction during a Settlement Hour.</w:t>
      </w:r>
    </w:p>
    <w:p>
      <w:pPr>
        <w:pStyle w:val="Heading2"/>
        <w:spacing w:lineRule="auto" w:line="360"/>
        <w:ind w:hanging="0" w:start="0"/>
        <w:rPr/>
      </w:pPr>
      <w:r>
        <w:rPr>
          <w:b/>
        </w:rPr>
        <w:t>“</w:t>
      </w:r>
      <w:r>
        <w:rPr>
          <w:b/>
        </w:rPr>
        <w:t>Party”</w:t>
      </w:r>
      <w:r>
        <w:rPr/>
        <w:t xml:space="preserve"> means Powerex or the Counterparty, as the case may be, and </w:t>
      </w:r>
      <w:r>
        <w:rPr>
          <w:b/>
        </w:rPr>
        <w:t>“Parties”</w:t>
      </w:r>
      <w:r>
        <w:rPr/>
        <w:t xml:space="preserve"> means both of them.</w:t>
      </w:r>
    </w:p>
    <w:p>
      <w:pPr>
        <w:pStyle w:val="Heading2"/>
        <w:spacing w:lineRule="auto" w:line="360"/>
        <w:ind w:hanging="0" w:start="0"/>
        <w:rPr/>
      </w:pPr>
      <w:r>
        <w:rPr>
          <w:b/>
        </w:rPr>
        <w:t>“</w:t>
      </w:r>
      <w:r>
        <w:rPr>
          <w:b/>
        </w:rPr>
        <w:t>Pool Price”</w:t>
      </w:r>
      <w:r>
        <w:rPr/>
        <w:t xml:space="preserve"> means with respect to any Settlement Hour the price first reported for energy in that hour by the Power Pool of Alberta after the end of the Settlement Hour pursuant to the rules established by the Power Pool of Alberta established pursuant to the </w:t>
      </w:r>
      <w:r>
        <w:rPr>
          <w:i/>
        </w:rPr>
        <w:t>Electric Utilities Act (Alberta)</w:t>
      </w:r>
      <w:r>
        <w:rPr/>
        <w:t>, expressed in MW.h’s.</w:t>
      </w:r>
    </w:p>
    <w:p>
      <w:pPr>
        <w:pStyle w:val="Heading2"/>
        <w:spacing w:lineRule="auto" w:line="360"/>
        <w:ind w:hanging="0" w:start="0"/>
        <w:rPr/>
      </w:pPr>
      <w:r>
        <w:rPr>
          <w:b/>
        </w:rPr>
        <w:t>“</w:t>
      </w:r>
      <w:r>
        <w:rPr>
          <w:b/>
        </w:rPr>
        <w:t xml:space="preserve">Pool Price Payor” </w:t>
      </w:r>
      <w:r>
        <w:rPr/>
        <w:t>(sometimes also referred to as the Seller) means the Party who, in respect of any Transaction, agrees to pay the other Party the amount by which the Pool Price exceeds the Fixed Price in any Settlement Hour.</w:t>
      </w:r>
    </w:p>
    <w:p>
      <w:pPr>
        <w:pStyle w:val="Heading2"/>
        <w:spacing w:lineRule="auto" w:line="360"/>
        <w:ind w:hanging="0" w:start="0"/>
        <w:rPr/>
      </w:pPr>
      <w:r>
        <w:rPr>
          <w:b/>
        </w:rPr>
        <w:t>“</w:t>
      </w:r>
      <w:r>
        <w:rPr>
          <w:b/>
        </w:rPr>
        <w:t>Settlement Hour”</w:t>
      </w:r>
      <w:r>
        <w:rPr/>
        <w:t xml:space="preserve"> means any particular hour during which a Difference, if any, is agreed to be paid under a particular Transaction.</w:t>
      </w:r>
    </w:p>
    <w:p>
      <w:pPr>
        <w:pStyle w:val="Heading2"/>
        <w:spacing w:lineRule="auto" w:line="360"/>
        <w:ind w:hanging="0" w:start="0"/>
        <w:rPr/>
      </w:pPr>
      <w:r>
        <w:rPr>
          <w:b/>
        </w:rPr>
        <w:t>“</w:t>
      </w:r>
      <w:r>
        <w:rPr>
          <w:b/>
        </w:rPr>
        <w:t>Transaction”</w:t>
      </w:r>
      <w:r>
        <w:rPr/>
        <w:t xml:space="preserve"> means a particular, specific transaction entered into pursuant to this Agreement to pay Differences agreed upon between the Parties.</w:t>
      </w:r>
    </w:p>
    <w:p>
      <w:pPr>
        <w:pStyle w:val="Heading2"/>
        <w:spacing w:lineRule="auto" w:line="360"/>
        <w:ind w:hanging="0" w:start="0"/>
        <w:rPr/>
      </w:pPr>
      <w:r>
        <w:rPr>
          <w:b/>
        </w:rPr>
        <w:t>“</w:t>
      </w:r>
      <w:r>
        <w:rPr>
          <w:b/>
        </w:rPr>
        <w:t>Transaction Days”</w:t>
      </w:r>
      <w:r>
        <w:rPr/>
        <w:t xml:space="preserve"> means the days in a Transaction Period in which Differences are agreed to be paid and if no days are specified means all days in the Transaction Period.</w:t>
      </w:r>
    </w:p>
    <w:p>
      <w:pPr>
        <w:pStyle w:val="Heading2"/>
        <w:spacing w:lineRule="auto" w:line="360"/>
        <w:ind w:hanging="0" w:start="0"/>
        <w:rPr/>
      </w:pPr>
      <w:r>
        <w:rPr>
          <w:b/>
        </w:rPr>
        <w:t>“</w:t>
      </w:r>
      <w:r>
        <w:rPr>
          <w:b/>
        </w:rPr>
        <w:t>Transaction Letter”</w:t>
      </w:r>
      <w:r>
        <w:rPr/>
        <w:t xml:space="preserve"> means a letter that incorporates the specific terms and conditions of a Transaction, in the form of Schedule A to this Agreement.</w:t>
      </w:r>
    </w:p>
    <w:p>
      <w:pPr>
        <w:pStyle w:val="Heading2"/>
        <w:spacing w:lineRule="auto" w:line="360"/>
        <w:ind w:hanging="0" w:start="0"/>
        <w:rPr/>
      </w:pPr>
      <w:r>
        <w:rPr>
          <w:b/>
        </w:rPr>
        <w:t>“</w:t>
      </w:r>
      <w:r>
        <w:rPr>
          <w:b/>
        </w:rPr>
        <w:t>Transaction Period”</w:t>
      </w:r>
      <w:r>
        <w:rPr/>
        <w:t xml:space="preserve"> means the period of a Transaction and includes the first date and the last date specified as being included in that Transaction Period.  If such period is a calendar month, the period commences on the first day of the month and it ends on the last day of the month.</w:t>
      </w:r>
    </w:p>
    <w:p>
      <w:pPr>
        <w:pStyle w:val="Heading1"/>
        <w:spacing w:lineRule="auto" w:line="360"/>
        <w:ind w:hanging="0" w:start="0"/>
        <w:rPr/>
      </w:pPr>
      <w:r>
        <w:rPr/>
        <w:t>Term and Termination</w:t>
      </w:r>
    </w:p>
    <w:p>
      <w:pPr>
        <w:pStyle w:val="BodyTextIndent"/>
        <w:spacing w:lineRule="auto" w:line="360"/>
        <w:rPr/>
      </w:pPr>
      <w:r>
        <w:rPr/>
        <w:t xml:space="preserve">This Agreement will be effective on the date first entered above and will remain in effect until terminated by either Party upon 30 days written notice to the other Party.  Termination will not relieve either Party of its obligations under any Transaction entered into pursuant to this Agreement and the terms of this Agreement will continue to apply to any such Transaction until all financial obligations are fully settled.  </w:t>
      </w:r>
    </w:p>
    <w:p>
      <w:pPr>
        <w:pStyle w:val="Heading1"/>
        <w:spacing w:lineRule="auto" w:line="360"/>
        <w:ind w:hanging="0" w:start="0"/>
        <w:rPr/>
      </w:pPr>
      <w:bookmarkStart w:id="1" w:name="_Ref495137730"/>
      <w:r>
        <w:rPr/>
        <w:t>Authorized Representative</w:t>
      </w:r>
      <w:bookmarkEnd w:id="1"/>
    </w:p>
    <w:p>
      <w:pPr>
        <w:pStyle w:val="Normal"/>
        <w:spacing w:lineRule="auto" w:line="360"/>
        <w:ind w:start="720" w:end="0"/>
        <w:rPr/>
      </w:pPr>
      <w:r>
        <w:rPr/>
        <w:t>Each Party will promptly designate one or more persons as Authorized Representatives and will promptly notify the other Party of any subsequent changes in the designations.  Only an Authorized Representative of a Party will have the power and authority to enter into a Transaction on behalf of the Party.  No revocation of an Authorized Representative’s power and authority will be effective until notice thereof has been received by the other Party.</w:t>
      </w:r>
    </w:p>
    <w:p>
      <w:pPr>
        <w:pStyle w:val="Heading1"/>
        <w:spacing w:lineRule="auto" w:line="360"/>
        <w:ind w:hanging="0" w:start="0"/>
        <w:rPr/>
      </w:pPr>
      <w:r>
        <w:rPr/>
        <w:t>Agreement Enables Transactions</w:t>
      </w:r>
    </w:p>
    <w:p>
      <w:pPr>
        <w:pStyle w:val="Heading2"/>
        <w:spacing w:lineRule="auto" w:line="360"/>
        <w:ind w:hanging="0" w:start="0"/>
        <w:rPr/>
      </w:pPr>
      <w:r>
        <w:rPr/>
        <w:t>This Agreement provides a framework for Transactions that each Party determines in its sole discretion to enter into from time to time.</w:t>
      </w:r>
    </w:p>
    <w:p>
      <w:pPr>
        <w:pStyle w:val="Heading2"/>
        <w:spacing w:lineRule="auto" w:line="360"/>
        <w:ind w:hanging="0" w:start="0"/>
        <w:rPr/>
      </w:pPr>
      <w:r>
        <w:rPr/>
        <w:t>The Parties acknowledge that this Agreement is not for the sale and purchase of energy but is for the financial settlement of Differences.</w:t>
      </w:r>
    </w:p>
    <w:p>
      <w:pPr>
        <w:pStyle w:val="Heading2"/>
        <w:spacing w:lineRule="auto" w:line="360"/>
        <w:ind w:hanging="0" w:start="0"/>
        <w:rPr/>
      </w:pPr>
      <w:r>
        <w:rPr/>
        <w:t>A Transaction may be made pursuant to an offer made and accepted by telephone between Authorized Representatives of the Parties.  A Transaction may be confirmed by a Transaction Letter signed by an Authorized Representative of both Parties and exchanged by fax.  Once a Transaction Letter is signed on behalf of both Parties, the Transaction Letter will supersede the terms of the telephone agreement in the case of any inconsistency.  Failure to complete a Transaction Letter will not affect the validity of any Transaction and the terms of the telephone agreement will prevail in such circumstances.</w:t>
      </w:r>
    </w:p>
    <w:p>
      <w:pPr>
        <w:pStyle w:val="Heading2"/>
        <w:spacing w:lineRule="auto" w:line="360"/>
        <w:ind w:hanging="0" w:start="0"/>
        <w:rPr/>
      </w:pPr>
      <w:r>
        <w:rPr/>
        <w:t>The terms of a Transaction must include the Fixed Price Payor, the Pool Price Payor, the Transaction Period, the Notional MW.h’s, the Settlement Hours and the Transaction Days, the Fixed Price and such other terms, not inconsistent with this Agreement, as the Parties may agree.</w:t>
      </w:r>
    </w:p>
    <w:p>
      <w:pPr>
        <w:pStyle w:val="Heading2"/>
        <w:spacing w:lineRule="auto" w:line="360"/>
        <w:ind w:hanging="0" w:start="0"/>
        <w:rPr/>
      </w:pPr>
      <w:r>
        <w:rPr/>
        <w:t>Each Party consents to the recording of its Authorized Representatives’ telephone conversations without further notice.  All recordings may be introduced into evidence and used to prove the terms of any telephone agreement between the Parties.</w:t>
      </w:r>
    </w:p>
    <w:p>
      <w:pPr>
        <w:pStyle w:val="Heading1"/>
        <w:spacing w:lineRule="auto" w:line="360"/>
        <w:ind w:hanging="0" w:start="0"/>
        <w:rPr/>
      </w:pPr>
      <w:bookmarkStart w:id="2" w:name="_Ref495135679"/>
      <w:r>
        <w:rPr/>
        <w:t>Credit Assurances</w:t>
      </w:r>
      <w:bookmarkEnd w:id="2"/>
    </w:p>
    <w:p>
      <w:pPr>
        <w:pStyle w:val="Heading2"/>
        <w:spacing w:lineRule="auto" w:line="360"/>
        <w:ind w:hanging="0" w:start="0"/>
        <w:rPr/>
      </w:pPr>
      <w:r>
        <w:rPr/>
        <w:t xml:space="preserve">For purposes of this Section </w:t>
      </w:r>
      <w:r>
        <w:rPr/>
        <w:fldChar w:fldCharType="begin"/>
      </w:r>
      <w:r>
        <w:rPr/>
        <w:instrText xml:space="preserve"> REF _Ref495135679 \r \r \h </w:instrText>
      </w:r>
      <w:r>
        <w:rPr/>
        <w:fldChar w:fldCharType="separate"/>
      </w:r>
      <w:r>
        <w:rPr/>
        <w:t>5</w:t>
      </w:r>
      <w:r>
        <w:rPr/>
        <w:fldChar w:fldCharType="end"/>
      </w:r>
      <w:r>
        <w:rPr/>
        <w:t>:</w:t>
      </w:r>
    </w:p>
    <w:p>
      <w:pPr>
        <w:pStyle w:val="Heading3"/>
        <w:ind w:hanging="0" w:start="0"/>
        <w:rPr/>
      </w:pPr>
      <w:r>
        <w:rPr/>
        <w:t>“</w:t>
      </w:r>
      <w:r>
        <w:rPr/>
        <w:t>Collateral Threshold Amount” means:</w:t>
      </w:r>
    </w:p>
    <w:p>
      <w:pPr>
        <w:pStyle w:val="Heading4"/>
        <w:spacing w:lineRule="auto" w:line="360"/>
        <w:ind w:hanging="0" w:start="0"/>
        <w:rPr/>
      </w:pPr>
      <w:r>
        <w:rPr/>
        <w:t>if the Party (or a party which guarantees the obligations of the Party under this Agreement) is rated by Standard &amp; Poors, the applicable amount set out beside such rating:</w:t>
      </w:r>
    </w:p>
    <w:p>
      <w:pPr>
        <w:pStyle w:val="Normal"/>
        <w:keepNext w:val="true"/>
        <w:tabs>
          <w:tab w:val="clear" w:pos="720"/>
          <w:tab w:val="left" w:pos="6480" w:leader="none"/>
        </w:tabs>
        <w:spacing w:lineRule="auto" w:line="360" w:before="0" w:after="120"/>
        <w:ind w:start="2880" w:end="0"/>
        <w:rPr>
          <w:b/>
        </w:rPr>
      </w:pPr>
      <w:r>
        <w:rPr>
          <w:b/>
        </w:rPr>
        <w:t>Collateral Threshold Amount</w:t>
        <w:tab/>
        <w:t>S&amp;P Credit Rating</w:t>
      </w:r>
    </w:p>
    <w:p>
      <w:pPr>
        <w:pStyle w:val="Normal"/>
        <w:keepNext w:val="true"/>
        <w:tabs>
          <w:tab w:val="clear" w:pos="720"/>
          <w:tab w:val="left" w:pos="6480" w:leader="none"/>
        </w:tabs>
        <w:spacing w:lineRule="auto" w:line="360" w:before="0" w:after="120"/>
        <w:ind w:start="2880" w:end="0"/>
        <w:rPr/>
      </w:pPr>
      <w:r>
        <w:rPr/>
        <w:t>__________________________</w:t>
        <w:tab/>
        <w:t>At least A-</w:t>
      </w:r>
    </w:p>
    <w:p>
      <w:pPr>
        <w:pStyle w:val="Normal"/>
        <w:keepNext w:val="true"/>
        <w:tabs>
          <w:tab w:val="clear" w:pos="720"/>
          <w:tab w:val="left" w:pos="6480" w:leader="none"/>
        </w:tabs>
        <w:spacing w:lineRule="auto" w:line="360" w:before="0" w:after="120"/>
        <w:ind w:start="2880" w:end="0"/>
        <w:rPr/>
      </w:pPr>
      <w:r>
        <w:rPr/>
        <w:t>__________________________</w:t>
        <w:tab/>
        <w:t>At least BBB-</w:t>
      </w:r>
    </w:p>
    <w:p>
      <w:pPr>
        <w:pStyle w:val="Normal"/>
        <w:keepNext w:val="true"/>
        <w:tabs>
          <w:tab w:val="clear" w:pos="720"/>
          <w:tab w:val="left" w:pos="6480" w:leader="none"/>
        </w:tabs>
        <w:spacing w:lineRule="auto" w:line="360" w:before="0" w:after="120"/>
        <w:ind w:start="2880" w:end="0"/>
        <w:rPr/>
      </w:pPr>
      <w:r>
        <w:rPr/>
        <w:t>__________________________</w:t>
        <w:tab/>
        <w:t>At least BB</w:t>
      </w:r>
    </w:p>
    <w:p>
      <w:pPr>
        <w:pStyle w:val="Normal"/>
        <w:tabs>
          <w:tab w:val="clear" w:pos="720"/>
          <w:tab w:val="left" w:pos="6480" w:leader="none"/>
        </w:tabs>
        <w:spacing w:lineRule="auto" w:line="360"/>
        <w:ind w:start="2880" w:end="0"/>
        <w:rPr/>
      </w:pPr>
      <w:r>
        <w:rPr/>
        <w:t>$0.00</w:t>
        <w:tab/>
        <w:t>BB- and lower,</w:t>
      </w:r>
    </w:p>
    <w:p>
      <w:pPr>
        <w:pStyle w:val="Normal"/>
        <w:tabs>
          <w:tab w:val="clear" w:pos="720"/>
          <w:tab w:val="left" w:pos="6480" w:leader="none"/>
        </w:tabs>
        <w:spacing w:lineRule="auto" w:line="360"/>
        <w:ind w:start="2880" w:end="0"/>
        <w:rPr/>
      </w:pPr>
      <w:r>
        <w:rPr/>
        <w:t>or</w:t>
      </w:r>
    </w:p>
    <w:p>
      <w:pPr>
        <w:pStyle w:val="Heading4"/>
        <w:spacing w:lineRule="auto" w:line="360"/>
        <w:ind w:hanging="0" w:start="0"/>
        <w:rPr/>
      </w:pPr>
      <w:r>
        <w:rPr/>
        <w:t>if the Party (or a party which guarantees the obligations of the Party under this Agreement) is not rated by Standard &amp; Poors:</w:t>
      </w:r>
    </w:p>
    <w:p>
      <w:pPr>
        <w:pStyle w:val="Heading5"/>
        <w:spacing w:lineRule="auto" w:line="360"/>
        <w:ind w:hanging="0" w:start="0"/>
        <w:rPr/>
      </w:pPr>
      <w:r>
        <w:rPr/>
        <w:t>in the case of Powerex, $</w:t>
      </w:r>
      <w:r>
        <w:rPr>
          <w:rFonts w:ascii="Wingdings" w:hAnsi="Wingdings"/>
        </w:rPr>
        <w:sym w:font="Wingdings" w:char="6c"/>
      </w:r>
      <w:r>
        <w:rPr/>
        <w:t>,</w:t>
      </w:r>
    </w:p>
    <w:p>
      <w:pPr>
        <w:pStyle w:val="Heading5"/>
        <w:spacing w:lineRule="auto" w:line="360"/>
        <w:ind w:hanging="0" w:start="0"/>
        <w:rPr/>
      </w:pPr>
      <w:r>
        <w:rPr/>
        <w:t>in the case of the Counterparty, $</w:t>
      </w:r>
      <w:r>
        <w:rPr>
          <w:rFonts w:ascii="Wingdings" w:hAnsi="Wingdings"/>
        </w:rPr>
        <w:sym w:font="Wingdings" w:char="6c"/>
      </w:r>
      <w:r>
        <w:rPr/>
        <w:t>.</w:t>
      </w:r>
    </w:p>
    <w:p>
      <w:pPr>
        <w:pStyle w:val="Heading3"/>
        <w:ind w:hanging="0" w:start="0"/>
        <w:rPr/>
      </w:pPr>
      <w:r>
        <w:rPr/>
        <w:t>“</w:t>
      </w:r>
      <w:r>
        <w:rPr/>
        <w:t>Performance Assurance” means, in respect of a Party:</w:t>
      </w:r>
    </w:p>
    <w:p>
      <w:pPr>
        <w:pStyle w:val="Heading4"/>
        <w:spacing w:lineRule="auto" w:line="360"/>
        <w:ind w:hanging="0" w:start="0"/>
        <w:rPr/>
      </w:pPr>
      <w:r>
        <w:rPr/>
        <w:t>the posting of a letter of credit in form and substance and from an issuer acceptable to the other Party;</w:t>
      </w:r>
    </w:p>
    <w:p>
      <w:pPr>
        <w:pStyle w:val="Heading4"/>
        <w:spacing w:lineRule="auto" w:line="360"/>
        <w:ind w:hanging="0" w:start="0"/>
        <w:rPr/>
      </w:pPr>
      <w:r>
        <w:rPr/>
        <w:t>a cash payment; or</w:t>
      </w:r>
    </w:p>
    <w:p>
      <w:pPr>
        <w:pStyle w:val="Heading4"/>
        <w:spacing w:lineRule="auto" w:line="360"/>
        <w:ind w:hanging="0" w:start="0"/>
        <w:rPr/>
      </w:pPr>
      <w:r>
        <w:rPr/>
        <w:t>the posting of other collateral or security by the Party acceptable to the other Party.</w:t>
      </w:r>
    </w:p>
    <w:p>
      <w:pPr>
        <w:pStyle w:val="Heading2"/>
        <w:spacing w:lineRule="auto" w:line="360"/>
        <w:ind w:hanging="0" w:start="0"/>
        <w:rPr/>
      </w:pPr>
      <w:r>
        <w:rPr/>
        <w:t xml:space="preserve">If at any time during the term of this Agreement, the Termination Payment (as defined in Section </w:t>
      </w:r>
      <w:r>
        <w:rPr/>
        <w:fldChar w:fldCharType="begin"/>
      </w:r>
      <w:r>
        <w:rPr/>
        <w:instrText xml:space="preserve"> REF _Ref495135805 \r \r \h </w:instrText>
      </w:r>
      <w:r>
        <w:rPr/>
        <w:fldChar w:fldCharType="separate"/>
      </w:r>
      <w:r>
        <w:rPr/>
        <w:t>(b)</w:t>
      </w:r>
      <w:r>
        <w:rPr/>
        <w:fldChar w:fldCharType="end"/>
      </w:r>
      <w:r>
        <w:rPr/>
        <w:t>) that would be owed to a Party (the “Beneficiary Party”) if that Party terminated the Agreement as a result of the default of the other Party, as computed by the Beneficiary Party, exceeds the Collateral Threshold Amount, the Beneficiary Party may request that the other Party (the “Posting Party”) provide Performance Assurance in an amount equal to the amount by which the Termination Payment at that time would exceed the Collateral Threshold Amount (rounding upwards to the next multiple of $250,000); provided, however, that the Collateral Threshold Amount for the Posting Party will be $0 upon the occurrence and during the continuation of an Event of Default with respect to such Party.</w:t>
      </w:r>
    </w:p>
    <w:p>
      <w:pPr>
        <w:pStyle w:val="Heading2"/>
        <w:spacing w:lineRule="auto" w:line="360"/>
        <w:ind w:hanging="0" w:start="0"/>
        <w:rPr/>
      </w:pPr>
      <w:r>
        <w:rPr/>
        <w:t xml:space="preserve">The Posting Party will deliver the Performance Assurance by the end of the second Business Day after such request and failure to do so will constitute an Event of Default pursuant to Section </w:t>
      </w:r>
      <w:r>
        <w:rPr/>
        <w:fldChar w:fldCharType="begin"/>
      </w:r>
      <w:r>
        <w:rPr/>
        <w:instrText xml:space="preserve"> REF _Ref495135767 \r \r \h </w:instrText>
      </w:r>
      <w:r>
        <w:rPr/>
        <w:fldChar w:fldCharType="separate"/>
      </w:r>
      <w:r>
        <w:rPr/>
        <w:t>13</w:t>
      </w:r>
      <w:r>
        <w:rPr/>
        <w:fldChar w:fldCharType="end"/>
      </w:r>
      <w:r>
        <w:rPr/>
        <w:t>.  If at any time the Performance Assurance provided by the Posting Party exceeds the amount by which the Early Termination Payment exceeds the Collateral Threshold Amount, then on any Business Day (but no more frequently than weekly), the Posting Party, at its sole cost, may reduce such Performance Assurance to the amount by which the Termination Payment exceeds the Collateral Threshold Amount (rounding upwards to the next multiple of $250,000).</w:t>
      </w:r>
    </w:p>
    <w:p>
      <w:pPr>
        <w:pStyle w:val="Heading1"/>
        <w:spacing w:lineRule="auto" w:line="360"/>
        <w:ind w:hanging="0" w:start="0"/>
        <w:rPr/>
      </w:pPr>
      <w:bookmarkStart w:id="3" w:name="_Ref495137827"/>
      <w:r>
        <w:rPr/>
        <w:t>Transactions</w:t>
      </w:r>
      <w:bookmarkEnd w:id="3"/>
      <w:r>
        <w:rPr/>
        <w:t xml:space="preserve"> for Differences</w:t>
      </w:r>
    </w:p>
    <w:p>
      <w:pPr>
        <w:pStyle w:val="BodyTextIndent"/>
        <w:spacing w:lineRule="auto" w:line="360"/>
        <w:rPr/>
      </w:pPr>
      <w:r>
        <w:rPr/>
        <w:t>In respect of each Transaction or portion thereof that takes place during a Month, the Parties will make payments as follows:</w:t>
      </w:r>
    </w:p>
    <w:p>
      <w:pPr>
        <w:pStyle w:val="Heading2"/>
        <w:spacing w:lineRule="auto" w:line="360"/>
        <w:ind w:hanging="0" w:start="0"/>
        <w:rPr/>
      </w:pPr>
      <w:bookmarkStart w:id="4" w:name="_Ref495137829"/>
      <w:r>
        <w:rPr/>
        <w:t>If the Fixed Price exceeds the Pool Price for any Settlement Hour then the Fixed Price Payor will pay to the Pool Price Payor the Difference multiplied by the Notional MW.h’s specified for that Settlement Hour.</w:t>
      </w:r>
      <w:bookmarkEnd w:id="4"/>
    </w:p>
    <w:p>
      <w:pPr>
        <w:pStyle w:val="Heading2"/>
        <w:spacing w:lineRule="auto" w:line="360"/>
        <w:ind w:hanging="0" w:start="0"/>
        <w:rPr/>
      </w:pPr>
      <w:bookmarkStart w:id="5" w:name="_Ref495137846"/>
      <w:r>
        <w:rPr/>
        <w:t>If the Pool Price exceeds the Fixed Price for any Settlement Hour then the Pool Price Payor will pay to the Fixed Price Payor the Difference multiplied by the Notional MW.h’s specified for that Settlement Hour.</w:t>
      </w:r>
      <w:bookmarkEnd w:id="5"/>
    </w:p>
    <w:p>
      <w:pPr>
        <w:pStyle w:val="BodyTextIndent"/>
        <w:spacing w:lineRule="auto" w:line="360"/>
        <w:rPr/>
      </w:pPr>
      <w:r>
        <w:rPr/>
        <w:t xml:space="preserve">The amount determined pursuant to Section </w:t>
      </w:r>
      <w:r>
        <w:rPr/>
        <w:fldChar w:fldCharType="begin"/>
      </w:r>
      <w:r>
        <w:rPr/>
        <w:instrText xml:space="preserve"> REF _Ref495137827 \r \r \h </w:instrText>
      </w:r>
      <w:r>
        <w:rPr/>
        <w:fldChar w:fldCharType="separate"/>
      </w:r>
      <w:r>
        <w:rPr/>
        <w:t>6</w:t>
      </w:r>
      <w:r>
        <w:rPr/>
        <w:fldChar w:fldCharType="end"/>
      </w:r>
      <w:r>
        <w:rPr/>
        <w:fldChar w:fldCharType="begin"/>
      </w:r>
      <w:r>
        <w:rPr/>
        <w:instrText xml:space="preserve"> REF _Ref495137829 \r \r \h </w:instrText>
      </w:r>
      <w:r>
        <w:rPr/>
        <w:fldChar w:fldCharType="separate"/>
      </w:r>
      <w:r>
        <w:rPr/>
        <w:t>(a)</w:t>
      </w:r>
      <w:r>
        <w:rPr/>
        <w:fldChar w:fldCharType="end"/>
      </w:r>
      <w:r>
        <w:rPr/>
        <w:t xml:space="preserve"> or </w:t>
      </w:r>
      <w:r>
        <w:rPr/>
        <w:fldChar w:fldCharType="begin"/>
      </w:r>
      <w:r>
        <w:rPr/>
        <w:instrText xml:space="preserve"> REF _Ref495137846 \r \r \h </w:instrText>
      </w:r>
      <w:r>
        <w:rPr/>
        <w:fldChar w:fldCharType="separate"/>
      </w:r>
      <w:r>
        <w:rPr/>
        <w:t>(b)</w:t>
      </w:r>
      <w:r>
        <w:rPr/>
        <w:fldChar w:fldCharType="end"/>
      </w:r>
      <w:r>
        <w:rPr/>
        <w:t xml:space="preserve"> for any Settlement Hour will become a debt owing as at the end of the Settlement Hour or at the time the Pool Price for that Settlement Hour is published, whichever is later and will be payable in accordance with Section </w:t>
      </w:r>
      <w:r>
        <w:rPr/>
        <w:fldChar w:fldCharType="begin"/>
      </w:r>
      <w:r>
        <w:rPr/>
        <w:instrText xml:space="preserve"> REF _Ref495136358 \r \r \h </w:instrText>
      </w:r>
      <w:r>
        <w:rPr/>
        <w:fldChar w:fldCharType="separate"/>
      </w:r>
      <w:r>
        <w:rPr/>
        <w:t>10</w:t>
      </w:r>
      <w:r>
        <w:rPr/>
        <w:fldChar w:fldCharType="end"/>
      </w:r>
      <w:r>
        <w:rPr/>
        <w:t>.</w:t>
      </w:r>
    </w:p>
    <w:p>
      <w:pPr>
        <w:pStyle w:val="Heading1"/>
        <w:ind w:hanging="0" w:start="0"/>
        <w:rPr/>
      </w:pPr>
      <w:bookmarkStart w:id="6" w:name="_Ref495199822"/>
      <w:r>
        <w:rPr/>
        <w:t>Netting</w:t>
      </w:r>
      <w:bookmarkEnd w:id="6"/>
    </w:p>
    <w:p>
      <w:pPr>
        <w:pStyle w:val="BodyTextIndent"/>
        <w:spacing w:lineRule="auto" w:line="360"/>
        <w:rPr/>
      </w:pPr>
      <w:r>
        <w:rPr/>
        <w:t>Notwithstanding any specific provisions of a Transaction to the contrary, all amounts owing by each Party under all Transactions for each Settlement Hour in a Month will be aggregated and netted against each other and such aggregated amount will be aggregated with the net amount owing in respect of previous Settlement Hours in that Month.  In addition, any amounts owing to or from either Party under this Agreement or any other agreement between the Parties (except to the extent specifically precluded in such other agreements) with respect to a given Month will be aggregated and netted against each other. The Parties will discharge their obligation to pay through netting of the respective amounts owing at the end of the Month, in which case the Party, if any, owing the greater aggregate amount will pay to the other Party the difference between the amounts owed at the end of the Month.</w:t>
      </w:r>
    </w:p>
    <w:p>
      <w:pPr>
        <w:pStyle w:val="Heading1"/>
        <w:ind w:hanging="0" w:start="0"/>
        <w:rPr/>
      </w:pPr>
      <w:r>
        <w:rPr/>
        <w:t>Changes to Pool Price Determination or Publication</w:t>
      </w:r>
    </w:p>
    <w:p>
      <w:pPr>
        <w:pStyle w:val="Normal"/>
        <w:spacing w:lineRule="auto" w:line="360"/>
        <w:ind w:start="720" w:end="0"/>
        <w:rPr/>
      </w:pPr>
      <w:r>
        <w:rPr/>
        <w:t xml:space="preserve">In the event that the method of determining the Pool Price changes or if the Pool Price is no longer published, then either Party may give notice to the other Party.  The Parties will negotiate in good faith to establish another price or methodology to determine an hourly price to be the Pool Price for purposes of this Agreement.  If the Parties are unable to agree, either Party may submit the matter for dispute resolution in accordance with Section </w:t>
      </w:r>
      <w:r>
        <w:rPr/>
        <w:fldChar w:fldCharType="begin"/>
      </w:r>
      <w:r>
        <w:rPr/>
        <w:instrText xml:space="preserve"> REF _Ref495136173 \r \r \h </w:instrText>
      </w:r>
      <w:r>
        <w:rPr/>
        <w:fldChar w:fldCharType="separate"/>
      </w:r>
      <w:r>
        <w:rPr/>
        <w:t>17</w:t>
      </w:r>
      <w:r>
        <w:rPr/>
        <w:fldChar w:fldCharType="end"/>
      </w:r>
      <w:r>
        <w:rPr/>
        <w:t xml:space="preserve"> and the arbitrator is authorized and directed to establish a new price as the Pool Price or a methodology for establishing the Pool Price each Settlement Hour.  Pending the arbitrator’s determination of the new Pool Price, the arbitrator may determine a temporary Pool Price for purposes of payments and credit requirements of this Agreement.  Once the new Pool Price is established by the arbitrator, it will apply to each Settlement Hour from the date the method of determining the Pool Price changed or the Pool Price ceased to be published or such other date as the arbitrator determines.  Upon the new Pool Price being determined by the arbitrator, the Parties will make adjusting payments in accordance with the arbitrator’s determination, with interest at the rate specified in Section </w:t>
      </w:r>
      <w:r>
        <w:rPr/>
        <w:fldChar w:fldCharType="begin"/>
      </w:r>
      <w:r>
        <w:rPr/>
        <w:instrText xml:space="preserve"> REF _Ref495136358 \r \r \h </w:instrText>
      </w:r>
      <w:r>
        <w:rPr/>
        <w:fldChar w:fldCharType="separate"/>
      </w:r>
      <w:r>
        <w:rPr/>
        <w:t>10</w:t>
      </w:r>
      <w:r>
        <w:rPr/>
        <w:fldChar w:fldCharType="end"/>
      </w:r>
      <w:r>
        <w:rPr/>
        <w:t xml:space="preserve">.  </w:t>
      </w:r>
    </w:p>
    <w:p>
      <w:pPr>
        <w:pStyle w:val="Heading1"/>
        <w:ind w:hanging="0" w:start="0"/>
        <w:rPr/>
      </w:pPr>
      <w:r>
        <w:rPr/>
        <w:t>Currency</w:t>
      </w:r>
    </w:p>
    <w:p>
      <w:pPr>
        <w:pStyle w:val="Normal"/>
        <w:spacing w:lineRule="auto" w:line="360"/>
        <w:ind w:start="720" w:end="0"/>
        <w:rPr/>
      </w:pPr>
      <w:r>
        <w:rPr/>
        <w:t>All dollar amounts referred to in this Agreement, including in any telephone agreement or Transaction Letter, are in Canadian currency.  Transactions will be priced, billed and paid for in Canadian currency.</w:t>
      </w:r>
    </w:p>
    <w:p>
      <w:pPr>
        <w:pStyle w:val="Heading1"/>
        <w:spacing w:lineRule="auto" w:line="360"/>
        <w:ind w:hanging="0" w:start="0"/>
        <w:rPr/>
      </w:pPr>
      <w:bookmarkStart w:id="7" w:name="_Ref495136358"/>
      <w:r>
        <w:rPr/>
        <w:t>Statements</w:t>
      </w:r>
      <w:bookmarkEnd w:id="7"/>
    </w:p>
    <w:p>
      <w:pPr>
        <w:pStyle w:val="Normal"/>
        <w:spacing w:lineRule="auto" w:line="360"/>
        <w:ind w:start="720" w:end="0"/>
        <w:rPr/>
      </w:pPr>
      <w:r>
        <w:rPr/>
        <w:t xml:space="preserve">A statement will be submitted by Powerex to the Counterparty approximately 5 days after the end of each Month in which a Transaction was in effect under this Agreement setting out the amount owing by each Party in respect of Settlement Hours during that Month and the net amount owing by one Party to the other.  Payment will be due by the later of (i) 10 days after receipt of the Statement, or (ii) the 20th day of the Month of receipt, provided that if the 20th day is not a Business Day payment will be due on the following Business Day.  Statements will be faxed to the Counterparty and will be deemed received upon Powerex’s confirmation of the successful fax transmission.  </w:t>
      </w:r>
    </w:p>
    <w:p>
      <w:pPr>
        <w:pStyle w:val="BodyTextIndent"/>
        <w:spacing w:lineRule="auto" w:line="360"/>
        <w:rPr/>
      </w:pPr>
      <w:r>
        <w:rPr/>
        <w:t>Payment is to be remitted in Canadian funds by wire for same day value.</w:t>
      </w:r>
    </w:p>
    <w:p>
      <w:pPr>
        <w:pStyle w:val="Normal"/>
        <w:keepNext w:val="true"/>
        <w:spacing w:lineRule="auto" w:line="360"/>
        <w:ind w:start="720" w:end="0"/>
        <w:rPr/>
      </w:pPr>
      <w:r>
        <w:rPr/>
        <w:t>If to Powerex:</w:t>
      </w:r>
    </w:p>
    <w:p>
      <w:pPr>
        <w:pStyle w:val="Normal"/>
        <w:ind w:start="720" w:end="0"/>
        <w:rPr>
          <w:rFonts w:ascii="Wingdings" w:hAnsi="Wingdings"/>
        </w:rPr>
      </w:pPr>
      <w:r>
        <w:rPr>
          <w:rFonts w:ascii="Wingdings" w:hAnsi="Wingdings"/>
        </w:rPr>
        <w:sym w:font="Wingdings" w:char="6c"/>
      </w:r>
    </w:p>
    <w:p>
      <w:pPr>
        <w:pStyle w:val="Normal"/>
        <w:keepLines/>
        <w:spacing w:lineRule="auto" w:line="360"/>
        <w:ind w:start="720" w:end="0"/>
        <w:rPr/>
      </w:pPr>
      <w:r>
        <w:rPr/>
        <w:t>If to the Counterparty:</w:t>
      </w:r>
    </w:p>
    <w:p>
      <w:pPr>
        <w:pStyle w:val="Normal"/>
        <w:keepLines/>
        <w:ind w:start="720" w:end="0"/>
        <w:rPr/>
      </w:pPr>
      <w:r>
        <w:rPr/>
        <w:t>____________________________</w:t>
        <w:br/>
        <w:t>____________________________</w:t>
        <w:br/>
        <w:t>____________________________</w:t>
      </w:r>
    </w:p>
    <w:p>
      <w:pPr>
        <w:pStyle w:val="BodyTextIndent"/>
        <w:spacing w:lineRule="auto" w:line="360"/>
        <w:rPr/>
      </w:pPr>
      <w:r>
        <w:rPr/>
        <w:t>Either Party may at any time provide the other Party with new wire-transfer instructions.</w:t>
      </w:r>
    </w:p>
    <w:p>
      <w:pPr>
        <w:pStyle w:val="BodyTextIndent"/>
        <w:spacing w:lineRule="auto" w:line="360"/>
        <w:rPr/>
      </w:pPr>
      <w:r>
        <w:rPr/>
        <w:t>Statements which are not paid within 20 days after receipt will accrue interest charges, prorated by days from the due date of the payment at 12% per annum, calculated monthly, until payment is received.</w:t>
      </w:r>
    </w:p>
    <w:p>
      <w:pPr>
        <w:pStyle w:val="Heading1"/>
        <w:ind w:hanging="0" w:start="0"/>
        <w:rPr/>
      </w:pPr>
      <w:r>
        <w:rPr/>
        <w:t>Dispute Regarding Amount Owing</w:t>
      </w:r>
    </w:p>
    <w:p>
      <w:pPr>
        <w:pStyle w:val="Normal"/>
        <w:spacing w:lineRule="auto" w:line="360"/>
        <w:ind w:start="720" w:end="0"/>
        <w:rPr/>
      </w:pPr>
      <w:r>
        <w:rPr/>
        <w:t xml:space="preserve">If the Counterparty in good faith disputes any portion of a statement, the Counterparty will nevertheless pay the disputed amount (if stated to be owing by it) and will notify Powerex of the dispute within 10 days of receiving the statement, together with a written explanation of the dispute and the amount in dispute.  The Parties will use best efforts to resolve the dispute amicably and promptly.  If the dispute cannot be resolved by the Parties within 5 Business Days, then either Party may submit the matter in dispute to arbitration in accordance with the procedures set out in Section </w:t>
      </w:r>
      <w:r>
        <w:rPr/>
        <w:fldChar w:fldCharType="begin"/>
      </w:r>
      <w:r>
        <w:rPr/>
        <w:instrText xml:space="preserve"> REF _Ref495136173 \r \r \h </w:instrText>
      </w:r>
      <w:r>
        <w:rPr/>
        <w:fldChar w:fldCharType="separate"/>
      </w:r>
      <w:r>
        <w:rPr/>
        <w:t>17</w:t>
      </w:r>
      <w:r>
        <w:rPr/>
        <w:fldChar w:fldCharType="end"/>
      </w:r>
      <w:r>
        <w:rPr/>
        <w:t>.</w:t>
      </w:r>
    </w:p>
    <w:p>
      <w:pPr>
        <w:pStyle w:val="Heading1"/>
        <w:spacing w:lineRule="auto" w:line="360"/>
        <w:ind w:hanging="0" w:start="0"/>
        <w:rPr/>
      </w:pPr>
      <w:r>
        <w:rPr/>
        <w:t>Price Corrections</w:t>
      </w:r>
    </w:p>
    <w:p>
      <w:pPr>
        <w:pStyle w:val="BodyTextIndent"/>
        <w:spacing w:lineRule="auto" w:line="360"/>
        <w:rPr/>
      </w:pPr>
      <w:r>
        <w:rPr/>
        <w:t xml:space="preserve">If the Pool Price used for determining amounts payable under this Agreement is subsequently corrected by the Power Pool of Alberta theneither Party may notify the other of the corrected price and the amount owing by one Party to the other as a result of such correction will be specified on the next statement issued and payable pursuant to Section 10,  with interest at the rate specified in Section </w:t>
      </w:r>
      <w:r>
        <w:rPr/>
        <w:fldChar w:fldCharType="begin"/>
      </w:r>
      <w:r>
        <w:rPr/>
        <w:instrText xml:space="preserve"> REF _Ref495136358 \r \r \h </w:instrText>
      </w:r>
      <w:r>
        <w:rPr/>
        <w:fldChar w:fldCharType="separate"/>
      </w:r>
      <w:r>
        <w:rPr/>
        <w:t>10</w:t>
      </w:r>
      <w:r>
        <w:rPr/>
        <w:fldChar w:fldCharType="end"/>
      </w:r>
      <w:r>
        <w:rPr/>
        <w:t>.</w:t>
      </w:r>
    </w:p>
    <w:p>
      <w:pPr>
        <w:pStyle w:val="Heading1"/>
        <w:spacing w:lineRule="auto" w:line="360"/>
        <w:ind w:hanging="0" w:start="0"/>
        <w:rPr>
          <w:u w:val="none"/>
        </w:rPr>
      </w:pPr>
      <w:bookmarkStart w:id="8" w:name="_Ref495135767"/>
      <w:r>
        <w:rPr/>
        <w:t>Events of Default</w:t>
      </w:r>
      <w:bookmarkEnd w:id="8"/>
    </w:p>
    <w:p>
      <w:pPr>
        <w:pStyle w:val="BodyTextIndent"/>
        <w:spacing w:lineRule="auto" w:line="360"/>
        <w:rPr/>
      </w:pPr>
      <w:r>
        <w:rPr/>
        <w:t>An event of default under this Agreement (“Event of Default”) means with respect to a Party (the “Defaulting Party”) any of the following:</w:t>
      </w:r>
    </w:p>
    <w:p>
      <w:pPr>
        <w:pStyle w:val="Heading2"/>
        <w:spacing w:lineRule="auto" w:line="360"/>
        <w:ind w:hanging="0" w:start="0"/>
        <w:rPr/>
      </w:pPr>
      <w:r>
        <w:rPr/>
        <w:t>the failure by the Defaulting Party to make, when due, any payment required under this Agreement if such failure is not remedied within 3 Business Days after notice of such failure is given to the Defaulting Party;</w:t>
      </w:r>
    </w:p>
    <w:p>
      <w:pPr>
        <w:pStyle w:val="Heading2"/>
        <w:spacing w:lineRule="auto" w:line="360"/>
        <w:ind w:hanging="0" w:start="0"/>
        <w:rPr/>
      </w:pPr>
      <w:r>
        <w:rPr>
          <w:rFonts w:cs="Times New Roman"/>
        </w:rPr>
        <w:t xml:space="preserve"> </w:t>
      </w:r>
      <w:r>
        <w:rPr/>
        <w:t xml:space="preserve">the failure by a Party to provide satisfactory Performance Assurance when required to do so pursuant to Section </w:t>
      </w:r>
      <w:r>
        <w:rPr/>
        <w:fldChar w:fldCharType="begin"/>
      </w:r>
      <w:r>
        <w:rPr/>
        <w:instrText xml:space="preserve"> REF _Ref495135679 \r \r \h </w:instrText>
      </w:r>
      <w:r>
        <w:rPr/>
        <w:fldChar w:fldCharType="separate"/>
      </w:r>
      <w:r>
        <w:rPr/>
        <w:t>5</w:t>
      </w:r>
      <w:r>
        <w:rPr/>
        <w:fldChar w:fldCharType="end"/>
      </w:r>
      <w:r>
        <w:rPr/>
        <w:t>.</w:t>
      </w:r>
    </w:p>
    <w:p>
      <w:pPr>
        <w:pStyle w:val="Heading2"/>
        <w:spacing w:lineRule="auto" w:line="360"/>
        <w:ind w:hanging="0" w:start="0"/>
        <w:rPr/>
      </w:pPr>
      <w:r>
        <w:rPr/>
        <w:t xml:space="preserve">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w:t>
      </w:r>
    </w:p>
    <w:p>
      <w:pPr>
        <w:pStyle w:val="Heading2"/>
        <w:spacing w:lineRule="auto" w:line="360"/>
        <w:ind w:hanging="0" w:start="0"/>
        <w:rPr/>
      </w:pPr>
      <w:r>
        <w:rPr/>
        <w:t>the Defaulting Party consolidates or amalgamates with, or merges into or with, or transfers substantially all of its assets to another entity and:</w:t>
      </w:r>
    </w:p>
    <w:p>
      <w:pPr>
        <w:pStyle w:val="Heading3"/>
        <w:spacing w:lineRule="auto" w:line="360"/>
        <w:ind w:hanging="0" w:start="0"/>
        <w:rPr/>
      </w:pPr>
      <w:bookmarkStart w:id="9" w:name="_Ref495136997"/>
      <w:r>
        <w:rPr/>
        <w:t>the resulting entity fails to assume all of the obligations of the Defaulting Party under this Agreement; or</w:t>
      </w:r>
      <w:bookmarkEnd w:id="9"/>
    </w:p>
    <w:p>
      <w:pPr>
        <w:pStyle w:val="Heading3"/>
        <w:spacing w:lineRule="auto" w:line="360"/>
        <w:ind w:hanging="0" w:start="0"/>
        <w:rPr/>
      </w:pPr>
      <w:r>
        <w:rPr/>
        <w:t>the resulting entity’s creditworthiness is weaker than that of the Defaulting Party; or</w:t>
      </w:r>
    </w:p>
    <w:p>
      <w:pPr>
        <w:pStyle w:val="Heading2"/>
        <w:spacing w:lineRule="auto" w:line="360"/>
        <w:ind w:hanging="0" w:start="0"/>
        <w:rPr/>
      </w:pPr>
      <w:r>
        <w:rPr/>
        <w:t>an event of default occurs (howsoever determined) under any other agreement between the Parties.</w:t>
      </w:r>
    </w:p>
    <w:p>
      <w:pPr>
        <w:pStyle w:val="Heading1"/>
        <w:spacing w:lineRule="auto" w:line="360"/>
        <w:ind w:hanging="0" w:start="0"/>
        <w:rPr/>
      </w:pPr>
      <w:bookmarkStart w:id="10" w:name="_Ref495399343"/>
      <w:r>
        <w:rPr/>
        <w:t>Integrated Agreement</w:t>
      </w:r>
      <w:bookmarkEnd w:id="10"/>
    </w:p>
    <w:p>
      <w:pPr>
        <w:pStyle w:val="BodyTextIndent"/>
        <w:spacing w:lineRule="auto" w:line="360"/>
        <w:rPr/>
      </w:pPr>
      <w:r>
        <w:rPr/>
        <w:t xml:space="preserve">All Transactions under this Agreement will constitute a single integrated agreement between the Parties, it being acknowledged that the Parties are relying upon the fact that all such Transactions will form a single agreement and that the Parties would not otherwise enter into any such Transaction.  </w:t>
      </w:r>
      <w:bookmarkStart w:id="11" w:name="_Ref495135802"/>
    </w:p>
    <w:p>
      <w:pPr>
        <w:pStyle w:val="Heading1"/>
        <w:ind w:hanging="0" w:start="0"/>
        <w:rPr/>
      </w:pPr>
      <w:bookmarkStart w:id="12" w:name="_Ref495418338"/>
      <w:r>
        <w:rPr/>
        <w:t>Remedies</w:t>
      </w:r>
      <w:bookmarkEnd w:id="11"/>
      <w:bookmarkEnd w:id="12"/>
    </w:p>
    <w:p>
      <w:pPr>
        <w:pStyle w:val="Heading2"/>
        <w:spacing w:lineRule="auto" w:line="360"/>
        <w:ind w:hanging="0" w:start="0"/>
        <w:rPr/>
      </w:pPr>
      <w:r>
        <w:rPr/>
        <w:t xml:space="preserve">If an Event of Default occurs and is continuing the non-defaulting Party may, in its sole discretion, by no more than 20 days notice to the Defaulting Party designate a day no earlier than the day such notice is effective as an early termination date (“Early Termination Date”); provided, however, upon the occurrence of any Event of Default listed in Section </w:t>
      </w:r>
      <w:r>
        <w:rPr/>
        <w:fldChar w:fldCharType="begin"/>
      </w:r>
      <w:r>
        <w:rPr/>
        <w:instrText xml:space="preserve"> REF _Ref495135767 \r \r \h </w:instrText>
      </w:r>
      <w:r>
        <w:rPr/>
        <w:fldChar w:fldCharType="separate"/>
      </w:r>
      <w:r>
        <w:rPr/>
        <w:t>13</w:t>
      </w:r>
      <w:r>
        <w:rPr/>
        <w:fldChar w:fldCharType="end"/>
      </w:r>
      <w:r>
        <w:rPr/>
        <w:t>(c) as it may apply to any Party, all Transactions and this Agreement in respect thereof will automatically terminate, without notice, and without any other action by either Party as if an Early Termination Date had been declared immediately prior to such event.  On the Early Termination Date, all obligations under all Transactions which would have ended after the Early Termination Date will be terminated, except as provided below.</w:t>
      </w:r>
    </w:p>
    <w:p>
      <w:pPr>
        <w:pStyle w:val="Heading2"/>
        <w:spacing w:lineRule="auto" w:line="360"/>
        <w:ind w:hanging="0" w:start="0"/>
        <w:rPr/>
      </w:pPr>
      <w:bookmarkStart w:id="13" w:name="_Ref495135805"/>
      <w:r>
        <w:rPr/>
        <w:t xml:space="preserve">If an Early Termination Date has been designated, the non-defaulting Party will in good faith calculate its Gains or Losses and Costs resulting from the termination of the Parties’ obligations under all such Transactions had the Early Termination Date not occurred.  The non-defaulting Party will aggregate such Gains, Losses and Costs with respect to all Transactions and any amounts then owing but unpaid in respect of any period prior to the Early Termination Date into a single net amount (the “Termination Payment”) and notify the Defaulting Party of the net amount owed or owing.  If the non-defaulting Party’s aggregate Losses and Costs exceed its aggregate Gains, the Defaulting Party will, within 5 Business Days of receipt of such notice, pay the Termination Payment to the non-defaulting Party, which amount will bear interest at the rate specified in Section </w:t>
      </w:r>
      <w:r>
        <w:rPr/>
        <w:fldChar w:fldCharType="begin"/>
      </w:r>
      <w:r>
        <w:rPr/>
        <w:instrText xml:space="preserve"> REF _Ref495136358 \r \r \h </w:instrText>
      </w:r>
      <w:r>
        <w:rPr/>
        <w:fldChar w:fldCharType="separate"/>
      </w:r>
      <w:r>
        <w:rPr/>
        <w:t>10</w:t>
      </w:r>
      <w:r>
        <w:rPr/>
        <w:fldChar w:fldCharType="end"/>
      </w:r>
      <w:r>
        <w:rPr/>
        <w:t xml:space="preserve"> from the Early Termination Date until paid.  If the non-defaulting Party’s aggregate Gains exceed its Losses and Costs, if any, resulting from the Event of Default, the non-defaulting Party will pay the Termination Payment to the Defaulting Party within 5 Business Days of giving such notice.  As used herein with respect to a non-defaulting Party:</w:t>
      </w:r>
      <w:bookmarkEnd w:id="13"/>
    </w:p>
    <w:p>
      <w:pPr>
        <w:pStyle w:val="Heading3"/>
        <w:spacing w:lineRule="auto" w:line="360"/>
        <w:ind w:hanging="0" w:start="0"/>
        <w:rPr/>
      </w:pPr>
      <w:r>
        <w:rPr/>
        <w:t>“</w:t>
      </w:r>
      <w:r>
        <w:rPr>
          <w:u w:val="single"/>
        </w:rPr>
        <w:t>Costs</w:t>
      </w:r>
      <w:r>
        <w:rPr/>
        <w:t>” means brokerage fees, commissions and other similar transaction costs and expenses reasonably incurred by the a Party either in terminating any arrangement pursuant to which it has hedged its obligations or entering into new arrangements which replace a Transaction;</w:t>
      </w:r>
    </w:p>
    <w:p>
      <w:pPr>
        <w:pStyle w:val="Heading3"/>
        <w:spacing w:lineRule="auto" w:line="360"/>
        <w:ind w:hanging="0" w:start="0"/>
        <w:rPr/>
      </w:pPr>
      <w:r>
        <w:rPr/>
        <w:t>“</w:t>
      </w:r>
      <w:r>
        <w:rPr>
          <w:u w:val="single"/>
        </w:rPr>
        <w:t>Gains</w:t>
      </w:r>
      <w:r>
        <w:rPr/>
        <w:t xml:space="preserve">” means an amount equal to the present value of the economic benefit, if any, (exclusive of Costs) to it resulting from the termination of the Parties’ obligations with respect to a Transaction, determined in a commercially reasonable manner; and </w:t>
      </w:r>
    </w:p>
    <w:p>
      <w:pPr>
        <w:pStyle w:val="Heading3"/>
        <w:spacing w:lineRule="auto" w:line="360"/>
        <w:ind w:hanging="0" w:start="0"/>
        <w:rPr/>
      </w:pPr>
      <w:r>
        <w:rPr/>
        <w:t>“</w:t>
      </w:r>
      <w:r>
        <w:rPr>
          <w:u w:val="single"/>
        </w:rPr>
        <w:t>Losses</w:t>
      </w:r>
      <w:r>
        <w:rPr/>
        <w:t xml:space="preserve">” means an amount equal to the present value of the economic loss, if any, (exclusive of Costs) to it resulting from the termination of the Parties’ obligations with respect to a Transaction, determined in a commercially reasonable manner.  </w:t>
      </w:r>
    </w:p>
    <w:p>
      <w:pPr>
        <w:pStyle w:val="Heading2"/>
        <w:spacing w:lineRule="auto" w:line="360"/>
        <w:ind w:hanging="0" w:start="0"/>
        <w:rPr/>
      </w:pPr>
      <w:r>
        <w:rPr/>
        <w:t>No Party will be required to pay special, exemplary, punitive, incidental, consequential or indirect damages (whether or not arising from a Party’s negligence) to the other Party, except to the extent that the payments specifically required to be made pursuant to this Agreement are, or could be, deemed to be such damages.  If and to the extent any payment made pursuant to this Agreement is deemed to constitute liquidated damages, the Parties acknowledge and agree that damages are difficult or impossible to determine and that such payment constitutes a reasonable approximation of the amount of such damages, and not a penalty.</w:t>
      </w:r>
    </w:p>
    <w:p>
      <w:pPr>
        <w:pStyle w:val="Heading1"/>
        <w:spacing w:lineRule="auto" w:line="360"/>
        <w:ind w:hanging="0" w:start="0"/>
        <w:rPr/>
      </w:pPr>
      <w:r>
        <w:rPr/>
        <w:t>Termination Payment Dispute</w:t>
      </w:r>
    </w:p>
    <w:p>
      <w:pPr>
        <w:pStyle w:val="BodyTextIndent"/>
        <w:spacing w:lineRule="auto" w:line="360"/>
        <w:rPr/>
      </w:pPr>
      <w:r>
        <w:rPr/>
        <w:t>If the Defaulting Party disputes the Termination Payment, if any, payable by it or to it, the Defaulting Party will notify the non-defaulting Party of the dispute within 10 days of receiving the notice that specifies the amount payable.  The Defaulting Party or non-defaulting Party, as applicable, will nevertheless pay any amount determined by the non-defaulting Party to be payable.  Either Party may submit the matter in dispute to arbitration in accordance with the procedures set out in Section </w:t>
      </w:r>
      <w:r>
        <w:rPr/>
        <w:fldChar w:fldCharType="begin"/>
      </w:r>
      <w:r>
        <w:rPr/>
        <w:instrText xml:space="preserve"> REF _Ref495136173 \r \r \h </w:instrText>
      </w:r>
      <w:r>
        <w:rPr/>
        <w:fldChar w:fldCharType="separate"/>
      </w:r>
      <w:r>
        <w:rPr/>
        <w:t>17</w:t>
      </w:r>
      <w:r>
        <w:rPr/>
        <w:fldChar w:fldCharType="end"/>
      </w:r>
      <w:r>
        <w:rPr/>
        <w:t xml:space="preserve"> and any adjustment to the amount paid will be due and payable within 3 Business Days of the arbitrator’s determination.</w:t>
      </w:r>
    </w:p>
    <w:p>
      <w:pPr>
        <w:pStyle w:val="Heading1"/>
        <w:ind w:hanging="0" w:start="0"/>
        <w:rPr/>
      </w:pPr>
      <w:bookmarkStart w:id="14" w:name="_Ref495136173"/>
      <w:r>
        <w:rPr/>
        <w:t>Dispute Resolution</w:t>
      </w:r>
      <w:bookmarkEnd w:id="14"/>
    </w:p>
    <w:p>
      <w:pPr>
        <w:pStyle w:val="Heading2"/>
        <w:spacing w:lineRule="auto" w:line="360"/>
        <w:ind w:hanging="0" w:start="0"/>
        <w:rPr/>
      </w:pPr>
      <w:r>
        <w:rPr/>
        <w:t xml:space="preserve">Any Dispute under this Agreement will be resolved by dispute resolution pursuant to this Section </w:t>
      </w:r>
      <w:r>
        <w:rPr/>
        <w:fldChar w:fldCharType="begin"/>
      </w:r>
      <w:r>
        <w:rPr/>
        <w:instrText xml:space="preserve"> REF _Ref495136173 \r \r \h </w:instrText>
      </w:r>
      <w:r>
        <w:rPr/>
        <w:fldChar w:fldCharType="separate"/>
      </w:r>
      <w:r>
        <w:rPr/>
        <w:t>17</w:t>
      </w:r>
      <w:r>
        <w:rPr/>
        <w:fldChar w:fldCharType="end"/>
      </w:r>
      <w:r>
        <w:rPr/>
        <w:t xml:space="preserve">.  For purposes of this Section </w:t>
      </w:r>
      <w:r>
        <w:rPr/>
        <w:fldChar w:fldCharType="begin"/>
      </w:r>
      <w:r>
        <w:rPr/>
        <w:instrText xml:space="preserve"> REF _Ref495136173 \r \r \h </w:instrText>
      </w:r>
      <w:r>
        <w:rPr/>
        <w:fldChar w:fldCharType="separate"/>
      </w:r>
      <w:r>
        <w:rPr/>
        <w:t>17</w:t>
      </w:r>
      <w:r>
        <w:rPr/>
        <w:fldChar w:fldCharType="end"/>
      </w:r>
      <w:r>
        <w:rPr/>
        <w:t>, “Dispute” means any dispute that arises under or in connection with this Agreement and includes any disagreement regarding the Pool Price or the Termination Payment.</w:t>
      </w:r>
    </w:p>
    <w:p>
      <w:pPr>
        <w:pStyle w:val="Heading2"/>
        <w:spacing w:lineRule="auto" w:line="360"/>
        <w:ind w:hanging="0" w:start="0"/>
        <w:rPr/>
      </w:pPr>
      <w:r>
        <w:rPr/>
        <w:t xml:space="preserve">Any arbitration will proceed in accordance with the Domestic Arbitration Rules of Procedure of the British Columbia International Commercial Arbitration Centre, as they may be in force at the time of the arbitration.  Unless the Parties otherwise agree, any arbitration commenced in accordance with this Section </w:t>
      </w:r>
      <w:r>
        <w:rPr/>
        <w:fldChar w:fldCharType="begin"/>
      </w:r>
      <w:r>
        <w:rPr/>
        <w:instrText xml:space="preserve"> REF _Ref495136173 \r \r \h </w:instrText>
      </w:r>
      <w:r>
        <w:rPr/>
        <w:fldChar w:fldCharType="separate"/>
      </w:r>
      <w:r>
        <w:rPr/>
        <w:t>17</w:t>
      </w:r>
      <w:r>
        <w:rPr/>
        <w:fldChar w:fldCharType="end"/>
      </w:r>
      <w:r>
        <w:rPr/>
        <w:t xml:space="preserve"> will be by a single arbitrator.</w:t>
      </w:r>
    </w:p>
    <w:p>
      <w:pPr>
        <w:pStyle w:val="Heading2"/>
        <w:spacing w:lineRule="auto" w:line="360"/>
        <w:ind w:hanging="0" w:start="0"/>
        <w:rPr/>
      </w:pPr>
      <w:r>
        <w:rPr/>
        <w:t xml:space="preserve">The Parties declare that arbitration pursuant to this Section </w:t>
      </w:r>
      <w:r>
        <w:rPr/>
        <w:fldChar w:fldCharType="begin"/>
      </w:r>
      <w:r>
        <w:rPr/>
        <w:instrText xml:space="preserve"> REF _Ref495136173 \r \r \h </w:instrText>
      </w:r>
      <w:r>
        <w:rPr/>
        <w:fldChar w:fldCharType="separate"/>
      </w:r>
      <w:r>
        <w:rPr/>
        <w:t>17</w:t>
      </w:r>
      <w:r>
        <w:rPr/>
        <w:fldChar w:fldCharType="end"/>
      </w:r>
      <w:r>
        <w:rPr/>
        <w:t xml:space="preserve"> will be the exclusive means of resolving any dispute under this Agreement.  The determination of the arbitrator will be final and binding.</w:t>
      </w:r>
    </w:p>
    <w:p>
      <w:pPr>
        <w:pStyle w:val="Heading1"/>
        <w:spacing w:lineRule="auto" w:line="360"/>
        <w:ind w:hanging="0" w:start="0"/>
        <w:rPr/>
      </w:pPr>
      <w:r>
        <w:rPr/>
        <w:t>Assignment</w:t>
      </w:r>
    </w:p>
    <w:p>
      <w:pPr>
        <w:pStyle w:val="BodyTextIndent"/>
        <w:spacing w:lineRule="auto" w:line="360"/>
        <w:rPr/>
      </w:pPr>
      <w:r>
        <w:rPr/>
        <w:t>No Party will transfer or assign this Agreement or any part hereof without the prior written consent of the other Party, not to be unreasonably withheld or delayed.</w:t>
      </w:r>
    </w:p>
    <w:p>
      <w:pPr>
        <w:pStyle w:val="Heading1"/>
        <w:spacing w:lineRule="auto" w:line="360"/>
        <w:ind w:hanging="0" w:start="0"/>
        <w:rPr/>
      </w:pPr>
      <w:r>
        <w:rPr/>
        <w:t>Governing Law</w:t>
      </w:r>
    </w:p>
    <w:p>
      <w:pPr>
        <w:pStyle w:val="BodyTextIndent"/>
        <w:spacing w:lineRule="auto" w:line="360"/>
        <w:rPr/>
      </w:pPr>
      <w:r>
        <w:rPr/>
        <w:t>This Agreement will, in all respects relating to a Transaction, including all matters of construction, validity and performance, be governed by and construed and enforced in accordance with the laws of British Columbia.</w:t>
      </w:r>
    </w:p>
    <w:p>
      <w:pPr>
        <w:pStyle w:val="Heading1"/>
        <w:spacing w:lineRule="auto" w:line="360"/>
        <w:ind w:hanging="0" w:start="0"/>
        <w:rPr/>
      </w:pPr>
      <w:r>
        <w:rPr/>
        <w:t>Severability</w:t>
      </w:r>
    </w:p>
    <w:p>
      <w:pPr>
        <w:pStyle w:val="BodyTextIndent"/>
        <w:spacing w:lineRule="auto" w:line="360"/>
        <w:rPr/>
      </w:pPr>
      <w:r>
        <w:rPr/>
        <w:t>If any term, covenant, or condition of this Agreement (including any telephone agreement or Transaction Letter), or the application of any such term, covenant or condition is held invalid as to any person, entity or circumstance by any governmental or regulatory body or court of competent jurisdiction, then such term, covenant or condition will remain in force and effect to the maximum extent permitted by law, and all other terms, covenants and conditions of this Agreement and their application will not be affected thereby but will remain in force and effect unless a governmental or regulatory body or court of competent jurisdiction finds that such provision is not severable from all other provisions of this Agreement.</w:t>
      </w:r>
    </w:p>
    <w:p>
      <w:pPr>
        <w:pStyle w:val="Heading1"/>
        <w:spacing w:lineRule="auto" w:line="360"/>
        <w:ind w:hanging="0" w:start="0"/>
        <w:rPr/>
      </w:pPr>
      <w:r>
        <w:rPr/>
        <w:t>Corporate Notices</w:t>
      </w:r>
    </w:p>
    <w:p>
      <w:pPr>
        <w:pStyle w:val="BodyTextIndent"/>
        <w:spacing w:lineRule="auto" w:line="360"/>
        <w:rPr/>
      </w:pPr>
      <w:r>
        <w:rPr/>
        <w:t>Unless this Agreement requires otherwise, any notice, demand or request provided for in this Agreement, or served, given or made in connection with it, will be in writing and will be deemed properly served, given or made and will become effective when delivered in person, or actually received by fax or by registered or certified first-class mail, to the Party at the address specified below:</w:t>
      </w:r>
    </w:p>
    <w:p>
      <w:pPr>
        <w:pStyle w:val="Normal"/>
        <w:keepNext w:val="true"/>
        <w:spacing w:lineRule="auto" w:line="360"/>
        <w:ind w:start="720" w:end="0"/>
        <w:rPr/>
      </w:pPr>
      <w:r>
        <w:rPr/>
        <w:t xml:space="preserve">To </w:t>
      </w:r>
      <w:r>
        <w:rPr>
          <w:rFonts w:ascii="Wingdings" w:hAnsi="Wingdings"/>
        </w:rPr>
        <w:sym w:font="Wingdings" w:char="75"/>
      </w:r>
      <w:r>
        <w:rPr/>
        <w:t>:</w:t>
      </w:r>
    </w:p>
    <w:p>
      <w:pPr>
        <w:pStyle w:val="Normal"/>
        <w:ind w:start="720" w:end="0"/>
        <w:rPr/>
      </w:pPr>
      <w:r>
        <w:rPr/>
        <w:t>___________________________</w:t>
      </w:r>
    </w:p>
    <w:p>
      <w:pPr>
        <w:pStyle w:val="Normal"/>
        <w:ind w:start="720" w:end="0"/>
        <w:rPr/>
      </w:pPr>
      <w:r>
        <w:rPr/>
        <w:t>___________________________</w:t>
      </w:r>
    </w:p>
    <w:p>
      <w:pPr>
        <w:pStyle w:val="BodyTextIndent"/>
        <w:keepNext w:val="true"/>
        <w:spacing w:lineRule="auto" w:line="360"/>
        <w:rPr/>
      </w:pPr>
      <w:r>
        <w:rPr/>
        <w:t>To Powerex:</w:t>
      </w:r>
    </w:p>
    <w:p>
      <w:pPr>
        <w:pStyle w:val="BodyTextIndent"/>
        <w:keepLines/>
        <w:rPr/>
      </w:pPr>
      <w:r>
        <w:rPr/>
        <w:t>Powerex Corp.</w:t>
        <w:br/>
        <w:t>Attention: Mr. King Lum, Director, Contracts</w:t>
        <w:br/>
        <w:t>666 Burrard Street</w:t>
        <w:br/>
        <w:t>Suite 1400</w:t>
        <w:br/>
        <w:t>Vancouver, B.C.  V6C 2X8</w:t>
        <w:br/>
        <w:br/>
        <w:t>Fax:  (604) 891-5015</w:t>
      </w:r>
    </w:p>
    <w:p>
      <w:pPr>
        <w:pStyle w:val="Normal"/>
        <w:spacing w:lineRule="auto" w:line="360"/>
        <w:ind w:start="720" w:end="0"/>
        <w:rPr/>
      </w:pPr>
      <w:r>
        <w:rPr/>
        <w:t>Any Party may, by written notice to the other, change the designation or address of the person so specified as the one to receive notices pursuant to this Agreement.</w:t>
      </w:r>
    </w:p>
    <w:p>
      <w:pPr>
        <w:pStyle w:val="Heading1"/>
        <w:spacing w:lineRule="auto" w:line="360"/>
        <w:ind w:hanging="0" w:start="0"/>
        <w:rPr/>
      </w:pPr>
      <w:r>
        <w:rPr/>
        <w:t>Waivers</w:t>
      </w:r>
    </w:p>
    <w:p>
      <w:pPr>
        <w:pStyle w:val="Normal"/>
        <w:spacing w:lineRule="auto" w:line="360"/>
        <w:ind w:start="720" w:end="0"/>
        <w:rPr/>
      </w:pPr>
      <w:r>
        <w:rPr/>
        <w:t>Except as otherwise provided herein or as agreed by the Parties, no provision of this Agreement (or any telephone agreement or Transaction Letter under it) will be waived except in writing.  Any waiver at any time by a Party of its rights with respect to a default under this Agreement (or any telephone agreement or Transaction Letter under it), or any other matter arising in connection with this Agreement, will not be deemed a waiver with respect to any other default or matter.</w:t>
      </w:r>
    </w:p>
    <w:p>
      <w:pPr>
        <w:pStyle w:val="Heading1"/>
        <w:spacing w:lineRule="auto" w:line="360"/>
        <w:ind w:hanging="0" w:start="0"/>
        <w:rPr/>
      </w:pPr>
      <w:r>
        <w:rPr/>
        <w:t>Execution in Counterparts</w:t>
      </w:r>
    </w:p>
    <w:p>
      <w:pPr>
        <w:pStyle w:val="Normal"/>
        <w:spacing w:lineRule="auto" w:line="360"/>
        <w:ind w:start="720" w:end="0"/>
        <w:rPr/>
      </w:pPr>
      <w:r>
        <w:rPr/>
        <w:t>This Agreement and any Transaction Letter may be executed in any number of counterparts including counterparts transmitted by fax, each of which will be deemed an original, and all of which, taken together, will constitute one and the same instrument.</w:t>
      </w:r>
    </w:p>
    <w:p>
      <w:pPr>
        <w:pStyle w:val="Heading1"/>
        <w:ind w:hanging="0" w:start="0"/>
        <w:rPr/>
      </w:pPr>
      <w:r>
        <w:rPr/>
        <w:t>Bankruptcy Matters</w:t>
      </w:r>
    </w:p>
    <w:p>
      <w:pPr>
        <w:pStyle w:val="BodyTextIndent"/>
        <w:spacing w:lineRule="auto" w:line="360"/>
        <w:rPr/>
      </w:pPr>
      <w:r>
        <w:rPr/>
        <w:t>The parties acknowledge and agree that this Agreement and the terms of each Transaction under it will be deemed to be an “eligible financial contract” within the meaning of the Bankruptcy and Insolvency Act (Canada) and the Companies Creditors Arrangement Act (Canada).</w:t>
      </w:r>
    </w:p>
    <w:p>
      <w:pPr>
        <w:pStyle w:val="Heading1"/>
        <w:spacing w:lineRule="auto" w:line="360"/>
        <w:ind w:hanging="0" w:start="0"/>
        <w:rPr/>
      </w:pPr>
      <w:r>
        <w:rPr/>
        <w:t>Representations and Warranties</w:t>
      </w:r>
    </w:p>
    <w:p>
      <w:pPr>
        <w:pStyle w:val="Normal"/>
        <w:spacing w:lineRule="auto" w:line="360"/>
        <w:ind w:start="720" w:end="0"/>
        <w:rPr/>
      </w:pPr>
      <w:r>
        <w:rPr/>
        <w:t>Each Party represents and warrants to and covenants with the other that:</w:t>
      </w:r>
    </w:p>
    <w:p>
      <w:pPr>
        <w:pStyle w:val="Heading2"/>
        <w:spacing w:lineRule="auto" w:line="360"/>
        <w:ind w:hanging="0" w:start="0"/>
        <w:rPr/>
      </w:pPr>
      <w:r>
        <w:rPr/>
        <w:t>It is a corporation validly incorporated and duly existing;</w:t>
      </w:r>
    </w:p>
    <w:p>
      <w:pPr>
        <w:pStyle w:val="Heading2"/>
        <w:spacing w:lineRule="auto" w:line="360"/>
        <w:ind w:hanging="0" w:start="0"/>
        <w:rPr/>
      </w:pPr>
      <w:r>
        <w:rPr/>
        <w:t>this Agreement and its execution by the signatories on its behalf have been duly authorized by all necessary corporate and other action;</w:t>
      </w:r>
    </w:p>
    <w:p>
      <w:pPr>
        <w:pStyle w:val="Heading2"/>
        <w:spacing w:lineRule="auto" w:line="360"/>
        <w:ind w:hanging="0" w:start="0"/>
        <w:rPr/>
      </w:pPr>
      <w:r>
        <w:rPr/>
        <w:t>this Agreement is a legally valid obligation of the Party, enforceable in accordance with its terms;</w:t>
      </w:r>
    </w:p>
    <w:p>
      <w:pPr>
        <w:pStyle w:val="Heading2"/>
        <w:spacing w:lineRule="auto" w:line="360"/>
        <w:ind w:hanging="0" w:start="0"/>
        <w:rPr/>
      </w:pPr>
      <w:r>
        <w:rPr/>
        <w:t>it is a resident of Canada within the meaning of the Income Tax Act (Canada) and no withholding or similar tax or payment must be made in connection with the payment or receipt of any amounts by or to the Party under this Agreement;</w:t>
      </w:r>
    </w:p>
    <w:p>
      <w:pPr>
        <w:pStyle w:val="Heading2"/>
        <w:spacing w:lineRule="auto" w:line="360"/>
        <w:ind w:hanging="0" w:start="0"/>
        <w:rPr/>
      </w:pPr>
      <w:r>
        <w:rPr/>
        <w:t>it is acting as principal and is a Qualified Party within the meaning of BOR #91</w:t>
        <w:noBreakHyphen/>
        <w:t>502 issued by the Alberta Securities Commission and within the meaning of Blanket Order 91-501 issued by the British Columbia Securities Commission; and</w:t>
      </w:r>
    </w:p>
    <w:p>
      <w:pPr>
        <w:pStyle w:val="Heading2"/>
        <w:spacing w:lineRule="auto" w:line="360"/>
        <w:ind w:hanging="0" w:start="0"/>
        <w:rPr/>
      </w:pPr>
      <w:r>
        <w:rPr/>
        <w:t>it is sophisticated, experienced and knowledgeable regarding the electricity industry and financial matters, is able to evaluate the risks and merits of any Transaction and is not relying in any manner on the other Party for advice or analysis regarding the risks or merits of any Transaction; neither Party is a fiduciary of the other.</w:t>
      </w:r>
    </w:p>
    <w:p>
      <w:pPr>
        <w:pStyle w:val="Normal"/>
        <w:spacing w:lineRule="auto" w:line="360"/>
        <w:rPr/>
      </w:pPr>
      <w:r>
        <w:rPr/>
        <w:t>In witness whereof the Parties have executed this Agreement intending to be legally bound.</w:t>
      </w:r>
    </w:p>
    <w:p>
      <w:pPr>
        <w:pStyle w:val="Normal"/>
        <w:keepNext w:val="true"/>
        <w:spacing w:lineRule="auto" w:line="360"/>
        <w:rPr>
          <w:b/>
        </w:rPr>
      </w:pPr>
      <w:r>
        <w:rPr>
          <w:rFonts w:ascii="Wingdings" w:hAnsi="Wingdings"/>
          <w:b/>
        </w:rPr>
        <w:sym w:font="Wingdings" w:char="75"/>
      </w:r>
    </w:p>
    <w:p>
      <w:pPr>
        <w:pStyle w:val="Normal"/>
        <w:keepNext w:val="true"/>
        <w:spacing w:lineRule="auto" w:line="360"/>
        <w:rPr/>
      </w:pPr>
      <w:r>
        <w:rPr/>
        <w:t>Per:</w:t>
        <w:tab/>
        <w:t>________________________</w:t>
      </w:r>
    </w:p>
    <w:p>
      <w:pPr>
        <w:pStyle w:val="Normal"/>
        <w:spacing w:lineRule="auto" w:line="360"/>
        <w:rPr/>
      </w:pPr>
      <w:r>
        <w:rPr/>
        <w:t>Title:</w:t>
        <w:tab/>
        <w:t>________________________</w:t>
      </w:r>
    </w:p>
    <w:p>
      <w:pPr>
        <w:pStyle w:val="Normal"/>
        <w:spacing w:lineRule="auto" w:line="360"/>
        <w:rPr/>
      </w:pPr>
      <w:r>
        <w:rPr/>
        <w:t>Date:</w:t>
        <w:tab/>
        <w:t>________________________</w:t>
      </w:r>
    </w:p>
    <w:p>
      <w:pPr>
        <w:pStyle w:val="Normal"/>
        <w:keepNext w:val="true"/>
        <w:spacing w:lineRule="auto" w:line="360"/>
        <w:rPr>
          <w:b/>
        </w:rPr>
      </w:pPr>
      <w:r>
        <w:rPr>
          <w:b/>
        </w:rPr>
      </w:r>
    </w:p>
    <w:p>
      <w:pPr>
        <w:pStyle w:val="Normal"/>
        <w:keepNext w:val="true"/>
        <w:spacing w:lineRule="auto" w:line="360"/>
        <w:rPr>
          <w:b/>
        </w:rPr>
      </w:pPr>
      <w:r>
        <w:rPr>
          <w:b/>
        </w:rPr>
        <w:t>POWEREX CORP.</w:t>
      </w:r>
    </w:p>
    <w:p>
      <w:pPr>
        <w:pStyle w:val="Normal"/>
        <w:spacing w:lineRule="auto" w:line="360"/>
        <w:rPr/>
      </w:pPr>
      <w:r>
        <w:rPr/>
        <w:t>Per:</w:t>
        <w:tab/>
        <w:t>________________________</w:t>
      </w:r>
    </w:p>
    <w:p>
      <w:pPr>
        <w:pStyle w:val="Normal"/>
        <w:spacing w:lineRule="auto" w:line="360"/>
        <w:rPr/>
      </w:pPr>
      <w:r>
        <w:rPr/>
        <w:t>Title:</w:t>
        <w:tab/>
        <w:t>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start="1" w:fmt="decimal"/>
          <w:formProt w:val="false"/>
          <w:titlePg/>
          <w:textDirection w:val="lrTb"/>
          <w:docGrid w:type="default" w:linePitch="360" w:charSpace="0"/>
        </w:sectPr>
        <w:pStyle w:val="Normal"/>
        <w:spacing w:lineRule="auto" w:line="360"/>
        <w:rPr/>
      </w:pPr>
      <w:r>
        <w:rPr/>
        <w:t>Date:</w:t>
        <w:tab/>
        <w:t>________________________</w:t>
      </w:r>
    </w:p>
    <w:p>
      <w:pPr>
        <w:pStyle w:val="Normal"/>
        <w:jc w:val="center"/>
        <w:rPr>
          <w:b/>
          <w:sz w:val="20"/>
        </w:rPr>
      </w:pPr>
      <w:r>
        <w:rPr>
          <w:b/>
          <w:sz w:val="20"/>
        </w:rPr>
        <w:t>SCHEDULE A</w:t>
        <w:br/>
      </w:r>
      <w:r>
        <w:rPr>
          <w:sz w:val="20"/>
          <w:u w:val="single"/>
        </w:rPr>
        <w:t>TRANSACTION LETTER</w:t>
      </w:r>
    </w:p>
    <w:p>
      <w:pPr>
        <w:pStyle w:val="Normal"/>
        <w:rPr/>
      </w:pPr>
      <w:r>
        <w:rPr>
          <w:sz w:val="20"/>
        </w:rPr>
        <w:t xml:space="preserve">This Transaction Letter confirms the agreement between Powerex and </w:t>
      </w:r>
      <w:r>
        <w:rPr>
          <w:rFonts w:ascii="Wingdings" w:hAnsi="Wingdings"/>
          <w:sz w:val="20"/>
        </w:rPr>
        <w:sym w:font="Wingdings" w:char="75"/>
      </w:r>
      <w:r>
        <w:rPr>
          <w:sz w:val="20"/>
        </w:rPr>
        <w:t xml:space="preserve"> entered into on _______________, 200_ regarding a Transaction pursuant to the Contract for Differences under the following terms and conditions:</w:t>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1.</w:t>
            </w:r>
            <w:r>
              <w:rPr>
                <w:b/>
                <w:sz w:val="20"/>
              </w:rPr>
              <w:t xml:space="preserve">  Fixed Price Payor (Buyer):</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br/>
              <w:t>_______________________________________________</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 xml:space="preserve">2.  </w:t>
            </w:r>
            <w:r>
              <w:rPr>
                <w:b/>
                <w:sz w:val="20"/>
              </w:rPr>
              <w:t>Pool Price Payor (Seller):</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br/>
              <w:t>_______________________________________________</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3.</w:t>
            </w:r>
            <w:r>
              <w:rPr>
                <w:b/>
                <w:sz w:val="20"/>
              </w:rPr>
              <w:t xml:space="preserve">  Transaction Period:</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br/>
              <w:t>_____________________ to ____________________, inclusive</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4.</w:t>
            </w:r>
            <w:r>
              <w:rPr>
                <w:b/>
                <w:sz w:val="20"/>
              </w:rPr>
              <w:t xml:space="preserve">  Notional MW.h’s each Settlement Hour:</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br/>
              <w:t>_________________MW</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5.</w:t>
            </w:r>
            <w:r>
              <w:rPr>
                <w:b/>
                <w:sz w:val="20"/>
              </w:rPr>
              <w:t xml:space="preserve">  Settlement Hours:</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br/>
              <w:t>HE ____________ through HE ____________mountain prevailing time</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 xml:space="preserve">6.  </w:t>
            </w:r>
            <w:r>
              <w:rPr>
                <w:b/>
                <w:sz w:val="20"/>
              </w:rPr>
              <w:t>Transaction Days:</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br/>
              <w:t>_______________ through ________________</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 xml:space="preserve">7.  </w:t>
            </w:r>
            <w:r>
              <w:rPr>
                <w:b/>
                <w:sz w:val="20"/>
              </w:rPr>
              <w:t>Fixed Price:</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br/>
              <w:t>Canadian $__________________/ MW.h</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spacing w:before="0" w:after="240"/>
              <w:rPr/>
            </w:pPr>
            <w:r>
              <w:rPr>
                <w:sz w:val="20"/>
              </w:rPr>
              <w:t xml:space="preserve">8.  </w:t>
            </w:r>
            <w:r>
              <w:rPr>
                <w:b/>
                <w:sz w:val="20"/>
              </w:rPr>
              <w:t>Other Terms:</w:t>
            </w:r>
          </w:p>
        </w:tc>
        <w:tc>
          <w:tcPr>
            <w:tcW w:w="6408" w:type="dxa"/>
            <w:tcBorders>
              <w:top w:val="single" w:sz="6" w:space="0" w:color="000000"/>
              <w:start w:val="single" w:sz="6" w:space="0" w:color="000000"/>
              <w:bottom w:val="single" w:sz="6" w:space="0" w:color="000000"/>
              <w:end w:val="single" w:sz="6" w:space="0" w:color="000000"/>
            </w:tcBorders>
          </w:tcPr>
          <w:p>
            <w:pPr>
              <w:pStyle w:val="Normal"/>
              <w:spacing w:before="0" w:after="24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pPr>
        <w:pStyle w:val="Normal"/>
        <w:rPr>
          <w:sz w:val="20"/>
        </w:rPr>
      </w:pPr>
      <w:r>
        <w:rPr>
          <w:sz w:val="20"/>
        </w:rPr>
      </w:r>
    </w:p>
    <w:p>
      <w:pPr>
        <w:pStyle w:val="Normal"/>
        <w:rPr>
          <w:sz w:val="20"/>
        </w:rPr>
      </w:pPr>
      <w:r>
        <w:rPr>
          <w:sz w:val="20"/>
        </w:rPr>
        <w:t>This Transaction Letter is being provided pursuant to and in accordance with the Contract for Differences dated __________, 2000 between the Parties and constitutes part of and is subject to all of the terms and conditions of such Agreement.  Terms used in this Transaction Letter will have the meanings ascribed to them in the Agreement.</w:t>
      </w:r>
    </w:p>
    <w:p>
      <w:pPr>
        <w:pStyle w:val="Normal"/>
        <w:rPr>
          <w:sz w:val="20"/>
        </w:rPr>
      </w:pPr>
      <w:r>
        <w:rPr>
          <w:sz w:val="20"/>
        </w:rPr>
        <w:t>ACKNOWLEDGED AND AGREED TO:</w:t>
      </w:r>
    </w:p>
    <w:p>
      <w:pPr>
        <w:pStyle w:val="Normal"/>
        <w:rPr>
          <w:sz w:val="20"/>
        </w:rPr>
      </w:pPr>
      <w:r>
        <w:rPr>
          <w:sz w:val="20"/>
        </w:rPr>
        <w:t>POWEREX CORP.</w:t>
        <w:tab/>
        <w:tab/>
        <w:tab/>
        <w:tab/>
      </w:r>
      <w:r>
        <w:rPr>
          <w:rFonts w:ascii="Wingdings" w:hAnsi="Wingdings"/>
          <w:sz w:val="20"/>
        </w:rPr>
        <w:sym w:font="Wingdings" w:char="75"/>
      </w:r>
    </w:p>
    <w:p>
      <w:pPr>
        <w:pStyle w:val="Normal"/>
        <w:rPr>
          <w:sz w:val="20"/>
        </w:rPr>
      </w:pPr>
      <w:r>
        <w:rPr>
          <w:sz w:val="20"/>
        </w:rPr>
        <w:t>Per:___________________________</w:t>
        <w:tab/>
        <w:tab/>
        <w:t>Per:___________________________</w:t>
        <w:br/>
        <w:t xml:space="preserve">       Authorized Signatory</w:t>
        <w:tab/>
        <w:tab/>
        <w:tab/>
        <w:tab/>
        <w:t xml:space="preserve">       Authorized Signatory</w:t>
      </w:r>
    </w:p>
    <w:p>
      <w:pPr>
        <w:pStyle w:val="Normal"/>
        <w:rPr>
          <w:sz w:val="20"/>
        </w:rPr>
      </w:pPr>
      <w:r>
        <w:rPr>
          <w:sz w:val="20"/>
        </w:rPr>
      </w:r>
    </w:p>
    <w:p>
      <w:pPr>
        <w:pStyle w:val="Normal"/>
        <w:spacing w:before="0" w:after="240"/>
        <w:rPr>
          <w:sz w:val="20"/>
          <w:lang w:val="en-CA"/>
        </w:rPr>
      </w:pPr>
      <w:r>
        <w:rPr>
          <w:sz w:val="20"/>
          <w:lang w:val="en-CA"/>
        </w:rPr>
      </w:r>
    </w:p>
    <w:sectPr>
      <w:headerReference w:type="default" r:id="rId6"/>
      <w:headerReference w:type="first" r:id="rId7"/>
      <w:footerReference w:type="default" r:id="rId8"/>
      <w:footerReference w:type="first" r:id="rId9"/>
      <w:type w:val="nextPage"/>
      <w:pgSz w:w="12240" w:h="15840"/>
      <w:pgMar w:left="1440" w:right="1440" w:gutter="0" w:header="720" w:top="1440" w:footer="36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eastAsia="Arial"/>
        <w:sz w:val="13"/>
      </w:rPr>
    </w:pPr>
    <w:r>
      <w:rPr>
        <w:rFonts w:eastAsia="Arial"/>
        <w:sz w:val="13"/>
      </w:rPr>
      <w:t xml:space="preserve"> </w:t>
    </w:r>
    <w:r>
      <mc:AlternateContent>
        <mc:Choice Requires="wps">
          <w:drawing>
            <wp:anchor behindDoc="1" distT="0" distB="0" distL="114935" distR="114935" simplePos="0" locked="0" layoutInCell="0" allowOverlap="1" relativeHeight="32">
              <wp:simplePos x="0" y="0"/>
              <wp:positionH relativeFrom="page">
                <wp:posOffset>914400</wp:posOffset>
              </wp:positionH>
              <wp:positionV relativeFrom="page">
                <wp:posOffset>9728200</wp:posOffset>
              </wp:positionV>
              <wp:extent cx="2540000" cy="127000"/>
              <wp:effectExtent l="0" t="0" r="0" b="0"/>
              <wp:wrapNone/>
              <wp:docPr id="2" name="Frame2"/>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spacing w:before="0" w:after="240"/>
                            <w:rPr>
                              <w:rFonts w:ascii="Arial" w:hAnsi="Arial" w:cs="Arial"/>
                              <w:sz w:val="14"/>
                            </w:rPr>
                          </w:pPr>
                          <w:r>
                            <w:rPr>
                              <w:rFonts w:cs="Arial" w:ascii="Arial" w:hAnsi="Arial"/>
                              <w:sz w:val="14"/>
                            </w:rPr>
                            <w:t>11975.58762.GMC.2035736.1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spacing w:before="0" w:after="240"/>
                      <w:rPr>
                        <w:rFonts w:ascii="Arial" w:hAnsi="Arial" w:cs="Arial"/>
                        <w:sz w:val="14"/>
                      </w:rPr>
                    </w:pPr>
                    <w:r>
                      <w:rPr>
                        <w:rFonts w:cs="Arial" w:ascii="Arial" w:hAnsi="Arial"/>
                        <w:sz w:val="14"/>
                      </w:rPr>
                      <w:t>11975.58762.GMC.2035736.1</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r>
    <w:r>
      <mc:AlternateContent>
        <mc:Choice Requires="wps">
          <w:drawing>
            <wp:anchor behindDoc="1" distT="0" distB="0" distL="114935" distR="114935" simplePos="0" locked="0" layoutInCell="0" allowOverlap="1" relativeHeight="17">
              <wp:simplePos x="0" y="0"/>
              <wp:positionH relativeFrom="page">
                <wp:posOffset>914400</wp:posOffset>
              </wp:positionH>
              <wp:positionV relativeFrom="page">
                <wp:posOffset>9728200</wp:posOffset>
              </wp:positionV>
              <wp:extent cx="2540000" cy="127000"/>
              <wp:effectExtent l="0" t="0" r="0" b="0"/>
              <wp:wrapNone/>
              <wp:docPr id="3" name="Frame1"/>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spacing w:before="0" w:after="240"/>
                            <w:rPr>
                              <w:rFonts w:ascii="Arial" w:hAnsi="Arial" w:cs="Arial"/>
                              <w:sz w:val="14"/>
                            </w:rPr>
                          </w:pPr>
                          <w:r>
                            <w:rPr>
                              <w:rFonts w:cs="Arial" w:ascii="Arial" w:hAnsi="Arial"/>
                              <w:sz w:val="14"/>
                            </w:rPr>
                            <w:t>11975.58762.GMC.2035736.1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spacing w:before="0" w:after="240"/>
                      <w:rPr>
                        <w:rFonts w:ascii="Arial" w:hAnsi="Arial" w:cs="Arial"/>
                        <w:sz w:val="14"/>
                      </w:rPr>
                    </w:pPr>
                    <w:r>
                      <w:rPr>
                        <w:rFonts w:cs="Arial" w:ascii="Arial" w:hAnsi="Arial"/>
                        <w:sz w:val="14"/>
                      </w:rPr>
                      <w:t>11975.58762.GMC.2035736.1</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eastAsia="Arial"/>
        <w:sz w:val="13"/>
      </w:rPr>
    </w:pPr>
    <w:r>
      <w:rPr>
        <w:rFonts w:eastAsia="Arial"/>
        <w:sz w:val="13"/>
      </w:rPr>
      <w:t xml:space="preserve"> </w:t>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ge">
                <wp:posOffset>9728200</wp:posOffset>
              </wp:positionV>
              <wp:extent cx="2540000" cy="127000"/>
              <wp:effectExtent l="0" t="0" r="0" b="0"/>
              <wp:wrapNone/>
              <wp:docPr id="4" name="Frame5"/>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spacing w:before="0" w:after="240"/>
                            <w:rPr>
                              <w:rFonts w:ascii="Arial" w:hAnsi="Arial" w:cs="Arial"/>
                              <w:sz w:val="14"/>
                            </w:rPr>
                          </w:pPr>
                          <w:r>
                            <w:rPr>
                              <w:rFonts w:cs="Arial" w:ascii="Arial" w:hAnsi="Arial"/>
                              <w:sz w:val="14"/>
                            </w:rPr>
                            <w:t>11975.58762.GMC.2035736.1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spacing w:before="0" w:after="240"/>
                      <w:rPr>
                        <w:rFonts w:ascii="Arial" w:hAnsi="Arial" w:cs="Arial"/>
                        <w:sz w:val="14"/>
                      </w:rPr>
                    </w:pPr>
                    <w:r>
                      <w:rPr>
                        <w:rFonts w:cs="Arial" w:ascii="Arial" w:hAnsi="Arial"/>
                        <w:sz w:val="14"/>
                      </w:rPr>
                      <w:t>11975.58762.GMC.2035736.1</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r>
      <w:rPr>
        <w:sz w:val="20"/>
        <w:lang w:val="en-CA"/>
      </w:rPr>
    </w:r>
    <w:r>
      <mc:AlternateContent>
        <mc:Choice Requires="wps">
          <w:drawing>
            <wp:anchor behindDoc="1" distT="0" distB="0" distL="114935" distR="114935" simplePos="0" locked="0" layoutInCell="0" allowOverlap="1" relativeHeight="33">
              <wp:simplePos x="0" y="0"/>
              <wp:positionH relativeFrom="page">
                <wp:posOffset>914400</wp:posOffset>
              </wp:positionH>
              <wp:positionV relativeFrom="page">
                <wp:posOffset>9728200</wp:posOffset>
              </wp:positionV>
              <wp:extent cx="2540000" cy="127000"/>
              <wp:effectExtent l="0" t="0" r="0" b="0"/>
              <wp:wrapNone/>
              <wp:docPr id="5" name="Frame4"/>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spacing w:before="0" w:after="240"/>
                            <w:rPr>
                              <w:rFonts w:ascii="Arial" w:hAnsi="Arial" w:cs="Arial"/>
                              <w:sz w:val="14"/>
                            </w:rPr>
                          </w:pPr>
                          <w:r>
                            <w:rPr>
                              <w:rFonts w:cs="Arial" w:ascii="Arial" w:hAnsi="Arial"/>
                              <w:sz w:val="14"/>
                            </w:rPr>
                            <w:t>11975.58762.GMC.2035736.1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72pt;mso-position-horizontal-relative:page">
              <v:fill opacity="0f"/>
              <v:textbox inset="0.000694444444444445in,0.000694444444444445in,0.000694444444444445in,0.000694444444444445in">
                <w:txbxContent>
                  <w:p>
                    <w:pPr>
                      <w:pStyle w:val="Normal"/>
                      <w:spacing w:before="0" w:after="240"/>
                      <w:rPr>
                        <w:rFonts w:ascii="Arial" w:hAnsi="Arial" w:cs="Arial"/>
                        <w:sz w:val="14"/>
                      </w:rPr>
                    </w:pPr>
                    <w:r>
                      <w:rPr>
                        <w:rFonts w:cs="Arial" w:ascii="Arial" w:hAnsi="Arial"/>
                        <w:sz w:val="14"/>
                      </w:rPr>
                      <w:t>11975.58762.GMC.2035736.1</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jc w:val="center"/>
      <w:rPr>
        <w:sz w:val="23"/>
      </w:rPr>
    </w:pPr>
    <w:r>
      <w:rPr>
        <w:sz w:val="23"/>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jc w:val="center"/>
      <w:rPr>
        <w:sz w:val="23"/>
      </w:rPr>
    </w:pPr>
    <w:r>
      <w:rPr>
        <w:sz w:val="23"/>
      </w:rPr>
      <w:t>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dstrike w:val="false"/>
        <w:strike w:val="false"/>
        <w:i w:val="false"/>
        <w:u w:val="none"/>
        <w:b w:val="false"/>
      </w:rPr>
    </w:lvl>
    <w:lvl w:ilvl="1">
      <w:start w:val="1"/>
      <w:pStyle w:val="Heading2"/>
      <w:numFmt w:val="lowerLetter"/>
      <w:lvlText w:val="(%2)"/>
      <w:lvlJc w:val="start"/>
      <w:pPr>
        <w:tabs>
          <w:tab w:val="num" w:pos="720"/>
        </w:tabs>
        <w:ind w:start="1440" w:hanging="720"/>
      </w:pPr>
      <w:rPr>
        <w:dstrike w:val="false"/>
        <w:strike w:val="false"/>
        <w:i w:val="false"/>
        <w:u w:val="none"/>
        <w:b w:val="false"/>
      </w:rPr>
    </w:lvl>
    <w:lvl w:ilvl="2">
      <w:start w:val="1"/>
      <w:pStyle w:val="Heading3"/>
      <w:numFmt w:val="lowerRoman"/>
      <w:lvlText w:val="(%3)"/>
      <w:lvlJc w:val="start"/>
      <w:pPr>
        <w:tabs>
          <w:tab w:val="num" w:pos="720"/>
        </w:tabs>
        <w:ind w:start="2160" w:hanging="720"/>
      </w:pPr>
      <w:rPr>
        <w:dstrike w:val="false"/>
        <w:strike w:val="false"/>
        <w:i w:val="false"/>
        <w:u w:val="none"/>
        <w:b w:val="false"/>
      </w:rPr>
    </w:lvl>
    <w:lvl w:ilvl="3">
      <w:start w:val="1"/>
      <w:pStyle w:val="Heading4"/>
      <w:numFmt w:val="upperLetter"/>
      <w:lvlText w:val="%4."/>
      <w:lvlJc w:val="start"/>
      <w:pPr>
        <w:tabs>
          <w:tab w:val="num" w:pos="720"/>
        </w:tabs>
        <w:ind w:start="2880" w:hanging="720"/>
      </w:pPr>
      <w:rPr>
        <w:dstrike w:val="false"/>
        <w:strike w:val="false"/>
        <w:i w:val="false"/>
        <w:u w:val="none"/>
        <w:b w:val="false"/>
      </w:rPr>
    </w:lvl>
    <w:lvl w:ilvl="4">
      <w:start w:val="1"/>
      <w:pStyle w:val="Heading5"/>
      <w:numFmt w:val="upperRoman"/>
      <w:lvlText w:val="%5."/>
      <w:lvlJc w:val="start"/>
      <w:pPr>
        <w:tabs>
          <w:tab w:val="num" w:pos="720"/>
        </w:tabs>
        <w:ind w:start="3600" w:hanging="720"/>
      </w:pPr>
      <w:rPr>
        <w:dstrike w:val="false"/>
        <w:strike w:val="false"/>
        <w:i w:val="false"/>
        <w:u w:val="none"/>
        <w:b w:val="false"/>
      </w:rPr>
    </w:lvl>
    <w:lvl w:ilvl="5">
      <w:start w:val="1"/>
      <w:pStyle w:val="Heading6"/>
      <w:numFmt w:val="lowerLetter"/>
      <w:lvlText w:val="%6."/>
      <w:lvlJc w:val="start"/>
      <w:pPr>
        <w:tabs>
          <w:tab w:val="num" w:pos="720"/>
        </w:tabs>
        <w:ind w:start="4320" w:hanging="720"/>
      </w:pPr>
      <w:rPr>
        <w:dstrike w:val="false"/>
        <w:strike w:val="false"/>
        <w:i w:val="false"/>
        <w:u w:val="none"/>
        <w:b w:val="false"/>
      </w:rPr>
    </w:lvl>
    <w:lvl w:ilvl="6">
      <w:start w:val="1"/>
      <w:pStyle w:val="Heading7"/>
      <w:numFmt w:val="lowerRoman"/>
      <w:lvlText w:val="%7."/>
      <w:lvlJc w:val="start"/>
      <w:pPr>
        <w:tabs>
          <w:tab w:val="num" w:pos="720"/>
        </w:tabs>
        <w:ind w:start="5040" w:hanging="720"/>
      </w:pPr>
      <w:rPr>
        <w:dstrike w:val="false"/>
        <w:strike w:val="false"/>
        <w:i w:val="false"/>
        <w:u w:val="none"/>
        <w:b w:val="false"/>
      </w:rPr>
    </w:lvl>
    <w:lvl w:ilvl="7">
      <w:start w:val="1"/>
      <w:pStyle w:val="Heading8"/>
      <w:numFmt w:val="upperLetter"/>
      <w:lvlText w:val="(%8)"/>
      <w:lvlJc w:val="start"/>
      <w:pPr>
        <w:tabs>
          <w:tab w:val="num" w:pos="720"/>
        </w:tabs>
        <w:ind w:start="5760" w:hanging="720"/>
      </w:pPr>
      <w:rPr>
        <w:dstrike w:val="false"/>
        <w:strike w:val="false"/>
        <w:i w:val="false"/>
        <w:u w:val="none"/>
        <w:b w:val="false"/>
      </w:rPr>
    </w:lvl>
    <w:lvl w:ilvl="8">
      <w:start w:val="1"/>
      <w:pStyle w:val="Heading9"/>
      <w:numFmt w:val="upperRoman"/>
      <w:lvlText w:val="(%9)"/>
      <w:lvlJc w:val="start"/>
      <w:pPr>
        <w:tabs>
          <w:tab w:val="num" w:pos="720"/>
        </w:tabs>
        <w:ind w:start="6480" w:hanging="720"/>
      </w:pPr>
      <w:rPr>
        <w:dstrike w:val="false"/>
        <w:strike w:val="false"/>
        <w:i w:val="false"/>
        <w:u w:val="none"/>
        <w:b w:val="fals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cs="Arial"/>
      <w:bCs/>
      <w:szCs w:val="32"/>
      <w:u w:val="single"/>
    </w:rPr>
  </w:style>
  <w:style w:type="paragraph" w:styleId="Heading2">
    <w:name w:val="heading 2"/>
    <w:basedOn w:val="Heading1"/>
    <w:next w:val="Normal"/>
    <w:qFormat/>
    <w:pPr>
      <w:keepNext w:val="false"/>
      <w:numPr>
        <w:ilvl w:val="1"/>
        <w:numId w:val="1"/>
      </w:numPr>
      <w:outlineLvl w:val="1"/>
    </w:pPr>
    <w:rPr>
      <w:bCs w:val="false"/>
      <w:iCs/>
      <w:szCs w:val="28"/>
      <w:u w:val="none"/>
    </w:rPr>
  </w:style>
  <w:style w:type="paragraph" w:styleId="Heading3">
    <w:name w:val="heading 3"/>
    <w:basedOn w:val="Heading2"/>
    <w:next w:val="Normal"/>
    <w:qFormat/>
    <w:pPr>
      <w:numPr>
        <w:ilvl w:val="2"/>
        <w:numId w:val="1"/>
      </w:numPr>
      <w:outlineLvl w:val="2"/>
    </w:pPr>
    <w:rPr>
      <w:bCs/>
      <w:szCs w:val="26"/>
    </w:rPr>
  </w:style>
  <w:style w:type="paragraph" w:styleId="Heading4">
    <w:name w:val="heading 4"/>
    <w:basedOn w:val="Heading3"/>
    <w:next w:val="Normal"/>
    <w:qFormat/>
    <w:pPr>
      <w:numPr>
        <w:ilvl w:val="3"/>
        <w:numId w:val="1"/>
      </w:numPr>
      <w:outlineLvl w:val="3"/>
    </w:pPr>
    <w:rPr>
      <w:bCs w:val="false"/>
      <w:szCs w:val="28"/>
    </w:rPr>
  </w:style>
  <w:style w:type="paragraph" w:styleId="Heading5">
    <w:name w:val="heading 5"/>
    <w:basedOn w:val="Heading4"/>
    <w:next w:val="Normal"/>
    <w:qFormat/>
    <w:pPr>
      <w:numPr>
        <w:ilvl w:val="4"/>
        <w:numId w:val="1"/>
      </w:numPr>
      <w:outlineLvl w:val="4"/>
    </w:pPr>
    <w:rPr>
      <w:bCs/>
      <w:iCs w:val="false"/>
      <w:szCs w:val="26"/>
    </w:rPr>
  </w:style>
  <w:style w:type="paragraph" w:styleId="Heading6">
    <w:name w:val="heading 6"/>
    <w:basedOn w:val="Heading5"/>
    <w:next w:val="Normal"/>
    <w:qFormat/>
    <w:pPr>
      <w:numPr>
        <w:ilvl w:val="5"/>
        <w:numId w:val="1"/>
      </w:numPr>
      <w:outlineLvl w:val="5"/>
    </w:pPr>
    <w:rPr>
      <w:bCs w:val="false"/>
      <w:szCs w:val="22"/>
    </w:rPr>
  </w:style>
  <w:style w:type="paragraph" w:styleId="Heading7">
    <w:name w:val="heading 7"/>
    <w:basedOn w:val="Heading6"/>
    <w:next w:val="Normal"/>
    <w:qFormat/>
    <w:pPr>
      <w:numPr>
        <w:ilvl w:val="6"/>
        <w:numId w:val="1"/>
      </w:numPr>
      <w:outlineLvl w:val="6"/>
    </w:pPr>
    <w:rPr/>
  </w:style>
  <w:style w:type="paragraph" w:styleId="Heading8">
    <w:name w:val="heading 8"/>
    <w:basedOn w:val="Heading7"/>
    <w:next w:val="Normal"/>
    <w:qFormat/>
    <w:pPr>
      <w:numPr>
        <w:ilvl w:val="7"/>
        <w:numId w:val="1"/>
      </w:numPr>
      <w:outlineLvl w:val="7"/>
    </w:pPr>
    <w:rPr>
      <w:iCs/>
    </w:rPr>
  </w:style>
  <w:style w:type="paragraph" w:styleId="Heading9">
    <w:name w:val="heading 9"/>
    <w:basedOn w:val="Heading8"/>
    <w:next w:val="Normal"/>
    <w:qFormat/>
    <w:pPr>
      <w:numPr>
        <w:ilvl w:val="8"/>
        <w:numId w:val="1"/>
      </w:numPr>
      <w:outlineLvl w:val="8"/>
    </w:pPr>
    <w:rPr/>
  </w:style>
  <w:style w:type="character" w:styleId="WW8Num1z0">
    <w:name w:val="WW8Num1z0"/>
    <w:qFormat/>
    <w:rPr>
      <w:b w:val="false"/>
      <w:i w:val="false"/>
      <w:strike w:val="false"/>
      <w:dstrike w:val="false"/>
      <w:u w:val="none"/>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uto" w:line="36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NoSpace">
    <w:name w:val="Normal No Space"/>
    <w:basedOn w:val="Normal"/>
    <w:qFormat/>
    <w:pPr>
      <w:spacing w:before="0" w:after="0"/>
    </w:pPr>
    <w:rPr>
      <w:lang w:val="en-CA"/>
    </w:rPr>
  </w:style>
  <w:style w:type="paragraph" w:styleId="Normal15Space">
    <w:name w:val="Normal 1.5 Space"/>
    <w:basedOn w:val="Normal"/>
    <w:qFormat/>
    <w:pPr>
      <w:spacing w:lineRule="auto" w:line="360"/>
    </w:pPr>
    <w:rPr>
      <w:lang w:val="en-CA"/>
    </w:rPr>
  </w:style>
  <w:style w:type="paragraph" w:styleId="Normal20Space">
    <w:name w:val="Normal 2.0 Space"/>
    <w:basedOn w:val="Normal"/>
    <w:qFormat/>
    <w:pPr>
      <w:spacing w:lineRule="auto" w:line="480"/>
    </w:pPr>
    <w:rPr>
      <w:lang w:val="en-CA"/>
    </w:rPr>
  </w:style>
  <w:style w:type="paragraph" w:styleId="Comment">
    <w:name w:val="Comment"/>
    <w:basedOn w:val="Normal"/>
    <w:qFormat/>
    <w:pPr>
      <w:pBdr>
        <w:top w:val="single" w:sz="12" w:space="1" w:color="000000"/>
        <w:left w:val="single" w:sz="12" w:space="1" w:color="000000"/>
        <w:bottom w:val="single" w:sz="12" w:space="1" w:color="000000"/>
        <w:right w:val="single" w:sz="12" w:space="1" w:color="000000"/>
      </w:pBdr>
      <w:shd w:fill="C0C0C0" w:val="clear"/>
      <w:overflowPunct w:val="false"/>
      <w:autoSpaceDE w:val="false"/>
      <w:spacing w:before="0" w:after="0"/>
      <w:jc w:val="both"/>
      <w:textAlignment w:val="baseline"/>
    </w:pPr>
    <w:rPr>
      <w:rFonts w:ascii="Arial" w:hAnsi="Arial" w:cs="Arial"/>
      <w:vanish/>
      <w:sz w:val="20"/>
      <w:szCs w:val="20"/>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overflowPunct w:val="false"/>
      <w:autoSpaceDE w:val="false"/>
      <w:spacing w:before="0" w:after="0"/>
      <w:jc w:val="center"/>
      <w:textAlignment w:val="baseline"/>
    </w:pPr>
    <w:rPr>
      <w:szCs w:val="20"/>
      <w:lang w:val="en-GB"/>
    </w:rPr>
  </w:style>
  <w:style w:type="paragraph" w:styleId="Footer">
    <w:name w:val="footer"/>
    <w:pPr>
      <w:widowControl w:val="false"/>
      <w:tabs>
        <w:tab w:val="clear" w:pos="720"/>
        <w:tab w:val="center" w:pos="4680" w:leader="none"/>
        <w:tab w:val="right" w:pos="9360" w:leader="none"/>
      </w:tabs>
      <w:overflowPunct w:val="false"/>
      <w:autoSpaceDE w:val="false"/>
      <w:bidi w:val="0"/>
      <w:textAlignment w:val="baseline"/>
    </w:pPr>
    <w:rPr>
      <w:rFonts w:ascii="Arial" w:hAnsi="Arial" w:eastAsia="Times New Roman" w:cs="Arial"/>
      <w:caps/>
      <w:color w:val="auto"/>
      <w:sz w:val="14"/>
      <w:szCs w:val="20"/>
      <w:lang w:val="en-GB" w:bidi="ar-SA" w:eastAsia="zh-CN"/>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val="false"/>
      <w:overflowPunct w:val="false"/>
      <w:autoSpaceDE w:val="false"/>
      <w:spacing w:before="0" w:after="0"/>
      <w:ind w:firstLine="720" w:start="0" w:end="0"/>
      <w:jc w:val="both"/>
      <w:textAlignment w:val="baseline"/>
    </w:pPr>
    <w:rPr>
      <w:szCs w:val="20"/>
    </w:rPr>
  </w:style>
  <w:style w:type="paragraph" w:styleId="indent5">
    <w:name w:val="indent .5"/>
    <w:basedOn w:val="Normal"/>
    <w:qFormat/>
    <w:pPr>
      <w:widowControl w:val="false"/>
      <w:tabs>
        <w:tab w:val="clear" w:pos="720"/>
        <w:tab w:val="left" w:pos="-1440" w:leader="none"/>
        <w:tab w:val="left" w:pos="-720" w:leader="none"/>
      </w:tabs>
      <w:suppressAutoHyphens w:val="true"/>
      <w:overflowPunct w:val="false"/>
      <w:autoSpaceDE w:val="false"/>
      <w:spacing w:before="240" w:after="0"/>
      <w:ind w:hanging="0" w:start="720" w:end="0"/>
      <w:jc w:val="both"/>
      <w:textAlignment w:val="baseline"/>
    </w:pPr>
    <w:rPr>
      <w:color w:val="000000"/>
      <w:szCs w:val="20"/>
    </w:rPr>
  </w:style>
  <w:style w:type="paragraph" w:styleId="Hanging2">
    <w:name w:val="Hanging 2"/>
    <w:basedOn w:val="Normal"/>
    <w:next w:val="Normal"/>
    <w:qFormat/>
    <w:pPr>
      <w:ind w:hanging="0" w:start="720" w:end="0"/>
      <w:jc w:val="both"/>
    </w:pPr>
    <w:rPr>
      <w:b/>
      <w:szCs w:val="20"/>
    </w:rPr>
  </w:style>
  <w:style w:type="paragraph" w:styleId="Hanging3">
    <w:name w:val="Hanging 3"/>
    <w:basedOn w:val="Normal"/>
    <w:next w:val="Normal"/>
    <w:qFormat/>
    <w:pPr>
      <w:ind w:hanging="0" w:start="1440" w:end="0"/>
      <w:jc w:val="both"/>
    </w:pPr>
    <w:rPr>
      <w:b/>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2000-10-18T16:19:00Z</dcterms:created>
  <dc:creator>Sonia Linneae</dc:creator>
  <dc:description/>
  <dc:language>en-CA</dc:language>
  <cp:lastModifiedBy>David Facey</cp:lastModifiedBy>
  <cp:lastPrinted>2000-10-13T12:43:00Z</cp:lastPrinted>
  <dcterms:modified xsi:type="dcterms:W3CDTF">2000-10-18T16:19:00Z</dcterms:modified>
  <cp:revision>2</cp:revision>
  <dc:subject/>
  <dc:title>THIS TRANSACTION ENABLING AGREEMENT (“Agreement”), made as of the _____ day of _________, 199____</dc:title>
</cp:coreProperties>
</file>