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t>November 24, 2000</w:t>
      </w:r>
    </w:p>
    <w:p>
      <w:pPr>
        <w:pStyle w:val="Heading"/>
        <w:rPr>
          <w:b w:val="false"/>
          <w:u w:val="none"/>
        </w:rPr>
      </w:pPr>
      <w:r>
        <w:rPr>
          <w:b w:val="false"/>
          <w:u w:val="none"/>
        </w:rPr>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PPA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John Lavorato </w:t>
            </w:r>
          </w:p>
          <w:p>
            <w:pPr>
              <w:pStyle w:val="Normal"/>
              <w:rPr>
                <w:rFonts w:ascii="Arial" w:hAnsi="Arial" w:cs="Arial"/>
              </w:rPr>
            </w:pPr>
            <w:r>
              <w:rPr>
                <w:rFonts w:cs="Arial" w:ascii="Arial" w:hAnsi="Arial"/>
              </w:rPr>
              <w:t>Tim Belden</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(Trading)</w:t>
            </w:r>
          </w:p>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(Origination)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Enron Canada Power Corp. acquired the Sundance "B" PPA pursuant to the auction for 706 MW for a term of 20 years, commencing January 1, 2001. Enron Canada Power’s qualification for participation in the Alberta Power Pool has been completed.  Trading and origination transactions are being pursued and executed with respect to the PPA for market deregulation commencing January 1, 2001.</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Secondary Alberta Power Purchase Auction (Plan B)</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John Lavorato </w:t>
            </w:r>
          </w:p>
          <w:p>
            <w:pPr>
              <w:pStyle w:val="Normal"/>
              <w:rPr>
                <w:rFonts w:ascii="Arial" w:hAnsi="Arial" w:cs="Arial"/>
              </w:rPr>
            </w:pPr>
            <w:r>
              <w:rPr>
                <w:rFonts w:cs="Arial" w:ascii="Arial" w:hAnsi="Arial"/>
              </w:rPr>
              <w:t>Tim Belden</w:t>
            </w:r>
          </w:p>
          <w:p>
            <w:pPr>
              <w:pStyle w:val="Normal"/>
              <w:rPr>
                <w:rFonts w:ascii="Arial" w:hAnsi="Arial" w:cs="Arial"/>
              </w:rPr>
            </w:pPr>
            <w:r>
              <w:rPr>
                <w:rFonts w:cs="Arial" w:ascii="Arial" w:hAnsi="Arial"/>
              </w:rPr>
              <w:t>John Zufferli</w:t>
            </w:r>
          </w:p>
          <w:p>
            <w:pPr>
              <w:pStyle w:val="Normal"/>
              <w:rPr>
                <w:rFonts w:ascii="Arial" w:hAnsi="Arial" w:cs="Arial"/>
              </w:rPr>
            </w:pPr>
            <w:r>
              <w:rPr>
                <w:rFonts w:cs="Arial" w:ascii="Arial" w:hAnsi="Arial"/>
              </w:rPr>
              <w:t>(Trading)</w:t>
            </w:r>
          </w:p>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(Origination)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Auction to be held Nov. 29/00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b/>
              </w:rPr>
            </w:pPr>
            <w:r>
              <w:rPr>
                <w:rFonts w:cs="Arial" w:ascii="Arial" w:hAnsi="Arial"/>
              </w:rPr>
              <w:t>The Government of Alberta has announced Plan "B" for the auction, in smaller blocks (2-25 MW) and for shorter terms (3 x 1-year terms), of the unsold power from the first auction (approximately 2,150 MWs).  Enron is entitled to bid on approximately 20% of the available MW due to PPA holding restrictions and must back-to-back 70% of the volume as a condition to participation.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Plan B Back-to-Back Transactions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John Zufferli</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physical back-to-back transactions, conditional on Plan B Auction Participation.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Project Red Ball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Year-end 2000/First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long-term financing for acquisition of Alberta PPA with various institutions.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British Energy entering into an agreement to acquire the Bruce Nuclear Generation Facility from the Ontario Government, and on Enron hedging 90% of contracted power.  Award of Bruce Facility to British Energy has been confirmed as satisfied. Market Opening extension has been negotiated with British Energy.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Rob Milnthorp</w:t>
            </w:r>
          </w:p>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being discussed with various counterparties to hedge British Energy position.</w:t>
            </w:r>
          </w:p>
          <w:p>
            <w:pPr>
              <w:pStyle w:val="Normal"/>
              <w:jc w:val="both"/>
              <w:rPr>
                <w:rFonts w:ascii="Arial" w:hAnsi="Arial" w:cs="Arial"/>
              </w:rPr>
            </w:pPr>
            <w:r>
              <w:rPr>
                <w:rFonts w:cs="Arial" w:ascii="Arial" w:hAnsi="Arial"/>
              </w:rPr>
              <w:t>20 MW (+16 MW option), 3-year contract executed with Sunoco.</w:t>
            </w:r>
          </w:p>
          <w:p>
            <w:pPr>
              <w:pStyle w:val="Normal"/>
              <w:jc w:val="both"/>
              <w:rPr>
                <w:rFonts w:ascii="Arial" w:hAnsi="Arial" w:cs="Arial"/>
              </w:rPr>
            </w:pPr>
            <w:r>
              <w:rPr>
                <w:rFonts w:cs="Arial" w:ascii="Arial" w:hAnsi="Arial"/>
              </w:rPr>
              <w:t>100 MW, 2-year contract executed with TransCanada Energy.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Commencing on Ontario Market Opening (Projected for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services and alliance agreement executed.  Toronto office set-up and additional contracting arrangements ongoing for Market Opening.  Currently renegotiating services agreement and potential buy-out of non-compete restrictions.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has been executed by Power Systems Mfg. regarding the creation of a joint entity for the purpose of manufacturing, packaging and selling mobile combustion turbine generating units. Management agreement and LLC agreement (and related agreements) are in process.  ENA has acquired one FT4 turbine and jet engine and one complete FT4 mobile package.  ENA has executed a supply agreement regarding 2 generators, with an option to have up to an additional 8 generators supplied.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Definitive Agreement expected to be executed by December,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has been awarded RFP.  Negotiation and execution of Definitive Agreement to be completed.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Dave Pope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Creation, qualification and preparation relating to a retail energy affiliate for Canadian jurisdictions.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Tax Mitigation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Morris Clark</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various tax deferral or tax write-off structures.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monitoring of TMP construction, equity investments and loan guarantees.  Currently reviewing acquisition/disposition opportunities.</w:t>
            </w:r>
          </w:p>
          <w:p>
            <w:pPr>
              <w:pStyle w:val="Header"/>
              <w:tabs>
                <w:tab w:val="clear" w:pos="4320"/>
                <w:tab w:val="clear" w:pos="8640"/>
              </w:tabs>
              <w:jc w:val="both"/>
              <w:rPr>
                <w:rFonts w:ascii="Arial" w:hAnsi="Arial" w:cs="Arial"/>
              </w:rPr>
            </w:pPr>
            <w:r>
              <w:rPr>
                <w:rFonts w:cs="Arial" w:ascii="Arial" w:hAnsi="Arial"/>
              </w:rPr>
              <w:t>Negotiating term sheet for potential buy-out of other shareholders.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Ongoing monitoring of equity and debt investments. Sale anticipated for 4</w:t>
            </w:r>
            <w:r>
              <w:rPr>
                <w:rFonts w:cs="Arial" w:ascii="Arial" w:hAnsi="Arial"/>
                <w:vertAlign w:val="superscript"/>
              </w:rPr>
              <w:t>th</w:t>
            </w:r>
            <w:r>
              <w:rPr>
                <w:rFonts w:cs="Arial" w:ascii="Arial" w:hAnsi="Arial"/>
              </w:rPr>
              <w:t xml:space="preserve"> Qtr.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Nitrochem</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regarding the provision of energy supply, portfolio, a risk management and settlement services and cogeneration development has been executed.  Revising draft power supply contract.  Preparing draft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Sunoco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Energy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CNR, Beau, Tenaska, Encal &amp; others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Kevin Heal</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Organization of numerous temporary assignments of pipeline capacity.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JCG Resources Ltd.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Pastega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Coordination and confirmation of transactions and agreements between Contour Energy Ltd., Troodon Energy Ltd. and JCG Resources Ltd.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Cadillac Fairview</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 binding letter of intent has been executed.  Preparing draft wholesale Electricity Management Services Agreement.  Draft power supply agreement has been circulated.  Exclusivity in place until November,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Bowater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draft wholesale Electricity Management Services Agreement.  Draft power supply agreement has been circulated.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administration of estate wind-up and final dividend payment.  Final dividend expected for year-end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  Discussions currently with PG&amp;E.</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Master Power</w:t>
            </w:r>
          </w:p>
          <w:p>
            <w:pPr>
              <w:pStyle w:val="Normal"/>
              <w:jc w:val="both"/>
              <w:rPr>
                <w:rFonts w:ascii="Arial" w:hAnsi="Arial" w:cs="Arial"/>
              </w:rPr>
            </w:pPr>
            <w:r>
              <w:rPr>
                <w:rFonts w:cs="Arial" w:ascii="Arial" w:hAnsi="Arial"/>
              </w:rPr>
              <w:t>Contract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Jon McKay</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 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Canadian standard form EEI master physical power trading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Master Amendment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On-going</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and negotiation of amendments to 37 Master Firm Gas Purchase/Sale Agreements (including specific transportation assignments and collateral and netting agreements) to reflect revised credit terms and recent changes in Canadian insolvency and commercial laws.  We are preparing amended and restated Master Agreements for the 9 remaining counterparties for which the commercial people have yet to deliver.</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TriQuest Energy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DiStefano</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Nov. 30,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Management Services Agreement for TriQuest's Alberta gas.</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0" w:start="3600" w:end="0"/>
        <w:jc w:val="both"/>
        <w:rPr>
          <w:rFonts w:ascii="Arial" w:hAnsi="Arial" w:cs="Arial"/>
          <w:u w:val="single"/>
        </w:rPr>
      </w:pPr>
      <w:r>
        <w:rPr>
          <w:rFonts w:cs="Arial" w:ascii="Arial" w:hAnsi="Arial"/>
          <w:u w:val="single"/>
        </w:rPr>
        <w:t>Non-Transactional/Other Matters:</w:t>
      </w:r>
    </w:p>
    <w:p>
      <w:pPr>
        <w:pStyle w:val="Normal"/>
        <w:ind w:hanging="3600" w:start="3600" w:end="0"/>
        <w:jc w:val="both"/>
        <w:rPr>
          <w:rFonts w:ascii="Arial" w:hAnsi="Arial" w:cs="Arial"/>
          <w:u w:val="single"/>
        </w:rPr>
      </w:pPr>
      <w:r>
        <w:rPr>
          <w:rFonts w:cs="Arial" w:ascii="Arial" w:hAnsi="Arial"/>
          <w:u w:val="single"/>
        </w:rPr>
      </w:r>
    </w:p>
    <w:p>
      <w:pPr>
        <w:pStyle w:val="Normal"/>
        <w:numPr>
          <w:ilvl w:val="0"/>
          <w:numId w:val="1"/>
        </w:numPr>
        <w:jc w:val="both"/>
        <w:rPr>
          <w:rFonts w:ascii="Arial" w:hAnsi="Arial" w:cs="Arial"/>
        </w:rPr>
      </w:pPr>
      <w:r>
        <w:rPr>
          <w:rFonts w:cs="Arial" w:ascii="Arial" w:hAnsi="Arial"/>
        </w:rPr>
        <w:t>Ongoing consultations/disputes with Alberta Government regarding Sundance B PPA, Secondary (Plan B) Power Auction, Market Rule Changes and No Harm Commitment (Peter Keohane).</w:t>
      </w:r>
    </w:p>
    <w:p>
      <w:pPr>
        <w:pStyle w:val="Normal"/>
        <w:numPr>
          <w:ilvl w:val="0"/>
          <w:numId w:val="1"/>
        </w:numPr>
        <w:jc w:val="both"/>
        <w:rPr>
          <w:rFonts w:ascii="Arial" w:hAnsi="Arial" w:cs="Arial"/>
        </w:rPr>
      </w:pPr>
      <w:r>
        <w:rPr>
          <w:rFonts w:cs="Arial" w:ascii="Arial" w:hAnsi="Arial"/>
        </w:rPr>
        <w:t>Competition Law Seminar – Scheduled for December 2000 (Peter Keohane).</w:t>
      </w:r>
    </w:p>
    <w:p>
      <w:pPr>
        <w:pStyle w:val="Normal"/>
        <w:numPr>
          <w:ilvl w:val="0"/>
          <w:numId w:val="1"/>
        </w:numPr>
        <w:jc w:val="both"/>
        <w:rPr>
          <w:rFonts w:ascii="Arial" w:hAnsi="Arial" w:cs="Arial"/>
        </w:rPr>
      </w:pPr>
      <w:r>
        <w:rPr>
          <w:rFonts w:cs="Arial" w:ascii="Arial" w:hAnsi="Arial"/>
        </w:rPr>
        <w:t>Potential NGX/Canadian Enerdata litigation (Peter Keohane).</w:t>
      </w:r>
    </w:p>
    <w:p>
      <w:pPr>
        <w:pStyle w:val="Normal"/>
        <w:numPr>
          <w:ilvl w:val="0"/>
          <w:numId w:val="1"/>
        </w:numPr>
        <w:jc w:val="both"/>
        <w:rPr>
          <w:rFonts w:ascii="Arial" w:hAnsi="Arial" w:cs="Arial"/>
        </w:rPr>
      </w:pPr>
      <w:r>
        <w:rPr>
          <w:rFonts w:cs="Arial" w:ascii="Arial" w:hAnsi="Arial"/>
        </w:rPr>
        <w:t>Project Stanley (Peter Keohane).</w:t>
      </w:r>
    </w:p>
    <w:p>
      <w:pPr>
        <w:pStyle w:val="Normal"/>
        <w:jc w:val="both"/>
        <w:rPr>
          <w:rFonts w:ascii="Arial" w:hAnsi="Arial" w:cs="Arial"/>
        </w:rPr>
      </w:pPr>
      <w:r>
        <w:rPr>
          <w:rFonts w:cs="Arial" w:ascii="Arial" w:hAnsi="Arial"/>
        </w:rPr>
      </w:r>
    </w:p>
    <w:p>
      <w:pPr>
        <w:pStyle w:val="Normal"/>
        <w:jc w:val="both"/>
        <w:rPr>
          <w:rFonts w:ascii="Arial" w:hAnsi="Arial" w:cs="Arial"/>
          <w:sz w:val="22"/>
        </w:rPr>
      </w:pPr>
      <w:r>
        <w:rPr>
          <w:rFonts w:cs="Arial" w:ascii="Arial" w:hAnsi="Arial"/>
          <w:sz w:val="22"/>
        </w:rPr>
      </w:r>
    </w:p>
    <w:sectPr>
      <w:headerReference w:type="default" r:id="rId2"/>
      <w:footerReference w:type="default" r:id="rId3"/>
      <w:type w:val="nextPage"/>
      <w:pgSz w:orient="landscape" w:w="15840" w:h="12240"/>
      <w:pgMar w:left="1440" w:right="1440" w:gutter="0" w:header="720" w:top="1440"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/mnt/main-storage/datasets/enron-docs/doc/Canada_Report.doc</w:t>
    </w:r>
    <w:r>
      <w:rPr>
        <w:sz w:val="16"/>
        <w:rFonts w:cs="Arial Narrow" w:ascii="Arial Narrow" w:hAnsi="Arial Narrow"/>
      </w:rPr>
      <w:fldChar w:fldCharType="end"/>
    </w:r>
    <w:r>
      <w:rPr>
        <w:rFonts w:cs="Arial Narrow" w:ascii="Arial Narrow" w:hAnsi="Arial Narrow"/>
        <w:sz w:val="16"/>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2000-12-13T15:46:00Z</dcterms:created>
  <dc:creator>Linda Sietzema</dc:creator>
  <dc:description/>
  <dc:language>en-CA</dc:language>
  <cp:lastModifiedBy>jelbert</cp:lastModifiedBy>
  <cp:lastPrinted>2000-11-22T09:03:00Z</cp:lastPrinted>
  <dcterms:modified xsi:type="dcterms:W3CDTF">2000-12-13T15:46:00Z</dcterms:modified>
  <cp:revision>2</cp:revision>
  <dc:subject/>
  <dc:title>Legal Transaction Status Report – Enron NA</dc:title>
</cp:coreProperties>
</file>