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term of the Transaction shall correspond to the date(s) set forth in the Product description on the Website.</w:t>
      </w:r>
    </w:p>
    <w:p>
      <w:pPr>
        <w:pStyle w:val="Normal"/>
        <w:rPr/>
      </w:pPr>
      <w:r>
        <w:rPr/>
        <w:t>Commodity specifications shall meet and/may exceed the applicable specifications as defined as follows:</w:t>
      </w:r>
    </w:p>
    <w:p>
      <w:pPr>
        <w:pStyle w:val="Normal"/>
        <w:rPr/>
      </w:pPr>
      <w:r>
        <w:rPr/>
      </w:r>
    </w:p>
    <w:p>
      <w:pPr>
        <w:pStyle w:val="Normal"/>
        <w:rPr/>
      </w:pPr>
      <w:r>
        <w:rPr/>
        <w:t>1) Consists of baled, fresh newspapers, not sunburned, free from white blank, pressroom over issue, containing the normal percentage of rotogravure and colored sections and up to 10% other papers as described below. If baled, it may be whole, chopped or hogged. Bales should be dense, tare free and solid and be uniform in size within a load.</w:t>
      </w:r>
    </w:p>
    <w:p>
      <w:pPr>
        <w:pStyle w:val="Normal"/>
        <w:rPr/>
      </w:pPr>
      <w:r>
        <w:rPr/>
      </w:r>
    </w:p>
    <w:p>
      <w:pPr>
        <w:pStyle w:val="Normal"/>
        <w:rPr/>
      </w:pPr>
      <w:r>
        <w:rPr/>
        <w:t>2) May include up to a total of 10% or 200 kilograms/metric ton of Other Papers. Other Papers shall consist of the following: magazines; pamphlets &amp; brochures; sorted white ledger (SWL); NCR paper; catalogs; envelopes (white or pastel) and/or junk-mail (inserts, flyers, post cards, advertising mailers).</w:t>
      </w:r>
    </w:p>
    <w:p>
      <w:pPr>
        <w:pStyle w:val="Normal"/>
        <w:rPr/>
      </w:pPr>
      <w:r>
        <w:rPr/>
      </w:r>
    </w:p>
    <w:p>
      <w:pPr>
        <w:pStyle w:val="Normal"/>
        <w:rPr/>
      </w:pPr>
      <w:r>
        <w:rPr/>
        <w:t xml:space="preserve">3) May include up to a total of 1% or 20 kilograms/metric ton of Out throws. Out throws shall consist of the following: aged newspapers; sunburned newspapers; telephone books; paperback books; corrugated containers (OCC); chipboard / boxboard; unbleached paper bags; brown kraft envelopes; manila file folders; post-it-notes. </w:t>
      </w:r>
    </w:p>
    <w:p>
      <w:pPr>
        <w:pStyle w:val="Normal"/>
        <w:rPr/>
      </w:pPr>
      <w:r>
        <w:rPr/>
      </w:r>
    </w:p>
    <w:p>
      <w:pPr>
        <w:pStyle w:val="Normal"/>
        <w:rPr/>
      </w:pPr>
      <w:r>
        <w:rPr/>
        <w:t>4) May not include any Prohibitives. Prohibitives shall consist of the following: beater-dyed papers; spiral or plastic-bound notebooks; glass; x-rays; plastic; food and yard waste; metal; photographs; wood; UV coated paper; rubber; carbon paper; styrofoam; medical waste; tapes; electrocardiogram paper; foil laminated paper; hazardous substance; asphalt treated paper; tyvek; FedEx envelopes; wet strength paper, blueprints, carrier stock.</w:t>
      </w:r>
    </w:p>
    <w:p>
      <w:pPr>
        <w:pStyle w:val="Normal"/>
        <w:rPr/>
      </w:pPr>
      <w:r>
        <w:rPr/>
      </w:r>
    </w:p>
    <w:p>
      <w:pPr>
        <w:pStyle w:val="Normal"/>
        <w:rPr/>
      </w:pPr>
      <w:r>
        <w:rPr/>
        <w:t xml:space="preserve">5) May not exceed 12% or 100 kilograms/metric ton of moisture and packed air dry. </w:t>
      </w:r>
    </w:p>
    <w:p>
      <w:pPr>
        <w:pStyle w:val="Normal"/>
        <w:rPr/>
      </w:pPr>
      <w:r>
        <w:rPr/>
      </w:r>
    </w:p>
    <w:p>
      <w:pPr>
        <w:pStyle w:val="Normal"/>
        <w:rPr/>
      </w:pPr>
      <w:r>
        <w:rPr/>
        <w:t>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EXW (Incoterms 2000) basis. The Incoterms 2000 for EXW ("EX Works") are summarized for this Transaction as follows: The carriage of the Commodity on the Buyer's truck(s) shall be arranged for by the Buyer; the load costs shall be for the account of the Seller; and the title and the risk of loss shall pass to the Buyer upon the Commodity being loaded by the Seller onto the Buyer's truck.</w:t>
      </w:r>
    </w:p>
    <w:p>
      <w:pPr>
        <w:pStyle w:val="Normal"/>
        <w:rPr/>
      </w:pPr>
      <w:r>
        <w:rPr/>
        <w:t>The Delivery Location shall be referred to as the Montreal Hub.  The Montreal Hub shall be defined as Seller's premises located within the 35 mile radius from the point of intersection of Quebec Autoroute 15 and Quebec Highway 20 in the city of Montreal, Quebec, Canada.</w:t>
      </w:r>
    </w:p>
    <w:p>
      <w:pPr>
        <w:pStyle w:val="Normal"/>
        <w:rPr/>
      </w:pPr>
      <w:r>
        <w:rPr/>
        <w:t>The price is quoted in US Dollars per unit of volume, which will be the Contractual Currency.</w:t>
      </w:r>
    </w:p>
    <w:p>
      <w:pPr>
        <w:pStyle w:val="Normal"/>
        <w:rPr/>
      </w:pPr>
      <w:r>
        <w:rPr/>
        <w:t>The unit of measure against which the price is quoted shall be metric tons and the quantity shown shall be in total metric tons. Weight variations of plus or minus five percent (+/- 5%) of the total metric tons delivered under this Transaction shall be deemed acceptable.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2001-05-24T18:56:00Z</dcterms:created>
  <dc:creator>Christopher Walker</dc:creator>
  <dc:description/>
  <dc:language>en-CA</dc:language>
  <cp:lastModifiedBy>Christopher Walker</cp:lastModifiedBy>
  <dcterms:modified xsi:type="dcterms:W3CDTF">2001-05-24T18:57:00Z</dcterms:modified>
  <cp:revision>1</cp:revision>
  <dc:subject/>
  <dc:title>A U</dc:title>
</cp:coreProperties>
</file>