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 U.S. Paper Transaction with Enron North America Corp., under which the Seller shall sell and the Buyer shall purchase Paper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Normal"/>
        <w:rPr/>
      </w:pPr>
      <w:r>
        <w:rPr/>
        <w:t>The term of the Transaction shall correspond to the date(s) set forth in the Product description on the Website.</w:t>
      </w:r>
    </w:p>
    <w:p>
      <w:pPr>
        <w:pStyle w:val="Normal"/>
        <w:rPr/>
      </w:pPr>
      <w:r>
        <w:rPr/>
        <w:t>Commodity specifications shall meet and/may exceed the applicable specifications as defined as follows:</w:t>
      </w:r>
    </w:p>
    <w:p>
      <w:pPr>
        <w:pStyle w:val="Normal"/>
        <w:rPr/>
      </w:pPr>
      <w:r>
        <w:rPr/>
      </w:r>
    </w:p>
    <w:p>
      <w:pPr>
        <w:pStyle w:val="Normal"/>
        <w:rPr/>
      </w:pPr>
      <w:r>
        <w:rPr/>
        <w:t>1) Consists of baled corrugated containers having liners of test liner, jute or kraft. Material must be 100% free of all food, hazardous or medical waste</w:t>
      </w:r>
    </w:p>
    <w:p>
      <w:pPr>
        <w:pStyle w:val="Normal"/>
        <w:rPr/>
      </w:pPr>
      <w:r>
        <w:rPr/>
      </w:r>
    </w:p>
    <w:p>
      <w:pPr>
        <w:pStyle w:val="Normal"/>
        <w:rPr/>
      </w:pPr>
      <w:r>
        <w:rPr/>
        <w:t>2) May include up to a total of 5% or 100 kilograms/metric ton of out throws. Out throws shall consist of the following: offshore corrugated boxes; boxboard/chipboard/paperboard; ground wood fibers (newsprint, paper back books, magazines, flyers); office papers</w:t>
      </w:r>
    </w:p>
    <w:p>
      <w:pPr>
        <w:pStyle w:val="Normal"/>
        <w:rPr/>
      </w:pPr>
      <w:r>
        <w:rPr/>
      </w:r>
    </w:p>
    <w:p>
      <w:pPr>
        <w:pStyle w:val="Normal"/>
        <w:rPr/>
      </w:pPr>
      <w:r>
        <w:rPr/>
        <w:t>3) May include up to a total of 1% or 20 kilograms/metric ton of prohibitives. Prohibitives shall consist of the following: corrugated boxes with wax; corrugated boxes with plastic; corrugated boxes with lamination; plastics (bags, styrofoam, strapping, sheeting); ferrous or non-ferrous metal.</w:t>
      </w:r>
    </w:p>
    <w:p>
      <w:pPr>
        <w:pStyle w:val="Normal"/>
        <w:rPr/>
      </w:pPr>
      <w:r>
        <w:rPr/>
      </w:r>
    </w:p>
    <w:p>
      <w:pPr>
        <w:pStyle w:val="Normal"/>
        <w:rPr/>
      </w:pPr>
      <w:r>
        <w:rPr/>
        <w:t xml:space="preserve">4) May not exceed 5% or 100 kilograms/metric ton of moisture and packed air dry. </w:t>
      </w:r>
    </w:p>
    <w:p>
      <w:pPr>
        <w:pStyle w:val="Normal"/>
        <w:rPr/>
      </w:pPr>
      <w:r>
        <w:rPr/>
      </w:r>
    </w:p>
    <w:p>
      <w:pPr>
        <w:pStyle w:val="Normal"/>
        <w:rPr/>
      </w:pPr>
      <w:r>
        <w:rPr/>
        <w:t xml:space="preserve">The Incoterms 2000, as published in the "ICC Guide to Incoterms 2000" by ICC Publishing S.A., are the official rules for the worldwide interpretations of trade terms and define the allocation of transport responsibilities for both the Buyer and the Seller. The Delivery of Commodity shall be on a EXW (Incoterms 2000) basis. The Incoterms 2000 for EXW ("EX Works") are summarized for this Transaction as follows: The carriage of the Commodity on the Buyer's truck(s) shall be arranged for by the Buyer; the load costs shall be for the account of the Seller; and the title and the risk of loss shall pass to the Buyer upon the Commodity being loaded by the Seller onto the Buyer's truck. </w:t>
      </w:r>
    </w:p>
    <w:p>
      <w:pPr>
        <w:pStyle w:val="Normal"/>
        <w:rPr/>
      </w:pPr>
      <w:r>
        <w:rPr/>
        <w:t>The Delivery Location shall be referred to as the Montreal Hub.  The Montreal Hub shall be defined as Seller's premises located within the 35 mile radius from the point of intersection of Quebec Autoroute 15 and Quebec Highway 20 in the city of Montreal, Quebec, Canada.</w:t>
      </w:r>
    </w:p>
    <w:p>
      <w:pPr>
        <w:pStyle w:val="Normal"/>
        <w:rPr/>
      </w:pPr>
      <w:r>
        <w:rPr/>
        <w:t>The price is quoted in US Dollars per unit of volume, which will be the Contractual Currency.</w:t>
      </w:r>
    </w:p>
    <w:p>
      <w:pPr>
        <w:pStyle w:val="Normal"/>
        <w:rPr/>
      </w:pPr>
      <w:r>
        <w:rPr/>
        <w:t>The unit of measure against which the price is quoted shall be metric tons and the quantity shown shall be in total metric tons. Weight variations of plus or minus five percent (+/- 5%) of the total metric tons delivered under this Transaction shall be deemed acceptable.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2001-05-24T18:55:00Z</dcterms:created>
  <dc:creator>Christopher Walker</dc:creator>
  <dc:description/>
  <dc:language>en-CA</dc:language>
  <cp:lastModifiedBy>Christopher Walker</cp:lastModifiedBy>
  <dcterms:modified xsi:type="dcterms:W3CDTF">2001-05-24T18:56:00Z</dcterms:modified>
  <cp:revision>1</cp:revision>
  <dc:subject/>
  <dc:title>A U</dc:title>
</cp:coreProperties>
</file>