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1 - August 10, 1999</w:t>
      </w:r>
    </w:p>
    <w:p>
      <w:pPr>
        <w:pStyle w:val="Normal"/>
        <w:jc w:val="center"/>
        <w:rPr>
          <w:rFonts w:ascii="Arial" w:hAnsi="Arial" w:cs="Arial"/>
          <w:b/>
          <w:sz w:val="20"/>
        </w:rPr>
      </w:pPr>
      <w:r>
        <w:rPr>
          <w:rFonts w:cs="Arial" w:ascii="Arial" w:hAnsi="Arial"/>
          <w:b/>
          <w:sz w:val="20"/>
        </w:rPr>
        <w:t>ENRON CANADA CORP. ("Enron")</w:t>
      </w:r>
    </w:p>
    <w:p>
      <w:pPr>
        <w:pStyle w:val="Normal"/>
        <w:jc w:val="center"/>
        <w:rPr>
          <w:rFonts w:ascii="Arial" w:hAnsi="Arial" w:cs="Arial"/>
          <w:b/>
          <w:sz w:val="20"/>
        </w:rPr>
      </w:pPr>
      <w:r>
        <w:rPr>
          <w:rFonts w:cs="Arial" w:ascii="Arial" w:hAnsi="Arial"/>
          <w:b/>
          <w:sz w:val="20"/>
        </w:rPr>
        <w:t>GENERAL TERMS AND CONDITIONS ("GTC")</w:t>
      </w:r>
    </w:p>
    <w:p>
      <w:pPr>
        <w:pStyle w:val="Normal"/>
        <w:jc w:val="both"/>
        <w:rPr>
          <w:rFonts w:ascii="Arial" w:hAnsi="Arial" w:cs="Arial"/>
          <w:sz w:val="20"/>
        </w:rPr>
      </w:pPr>
      <w:r>
        <w:rPr>
          <w:rFonts w:cs="Arial" w:ascii="Arial" w:hAnsi="Arial"/>
          <w:sz w:val="20"/>
        </w:rPr>
        <w:t>Until a relevant master agreement is executed between you ("Counterparty") and Enron Canada Corp. ("Enron"), this GTC will set forth the general terms and conditions governing all Derivative Transactions between us except as otherwise specified in a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jc w:val="both"/>
        <w:rPr/>
      </w:pPr>
      <w:r>
        <w:rPr>
          <w:rFonts w:cs="Arial" w:ascii="Arial" w:hAnsi="Arial"/>
          <w:sz w:val="20"/>
        </w:rPr>
        <w:t xml:space="preserve">1. </w:t>
      </w:r>
      <w:r>
        <w:rPr>
          <w:rFonts w:cs="Arial" w:ascii="Arial" w:hAnsi="Arial"/>
          <w:b/>
          <w:sz w:val="20"/>
          <w:u w:val="single"/>
        </w:rPr>
        <w:t>Representations</w:t>
      </w:r>
      <w:r>
        <w:rPr>
          <w:rFonts w:cs="Arial" w:ascii="Arial" w:hAnsi="Arial"/>
          <w:sz w:val="20"/>
        </w:rPr>
        <w:t xml:space="preserve">. Each of Enron and Counterparty represents and warrants to the other that (a) </w:t>
      </w:r>
      <w:r>
        <w:rPr>
          <w:rFonts w:cs="Arial" w:ascii="Arial" w:hAnsi="Arial"/>
          <w:sz w:val="20"/>
          <w:u w:val="single"/>
        </w:rPr>
        <w:t>Authority/Taxation</w:t>
      </w:r>
      <w:r>
        <w:rPr>
          <w:rFonts w:cs="Arial" w:ascii="Arial" w:hAnsi="Arial"/>
          <w:sz w:val="20"/>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it is in compliance with the terms, conditions and limitations set forth in the board resolutions or other guidelines that are applicable to such party’s execution and performance of this Transaction; and (b) </w:t>
      </w:r>
      <w:r>
        <w:rPr>
          <w:rFonts w:cs="Arial" w:ascii="Arial" w:hAnsi="Arial"/>
          <w:sz w:val="20"/>
          <w:u w:val="single"/>
        </w:rPr>
        <w:t>Eligible Swap Participant</w:t>
      </w:r>
      <w:r>
        <w:rPr>
          <w:rFonts w:cs="Arial" w:ascii="Arial" w:hAnsi="Arial"/>
          <w:sz w:val="20"/>
        </w:rPr>
        <w:t xml:space="preserve"> (i) it constitutes an "eligible swap participant" as such term is defined in 17 C.F.R. Section 35.1(b)(2), and (ii) this Transaction constitutes a "swap agreement" within the meaning of 17 C.F.R. Section 35.1(b)(1); and (c) </w:t>
      </w:r>
      <w:r>
        <w:rPr>
          <w:rFonts w:cs="Arial" w:ascii="Arial" w:hAnsi="Arial"/>
          <w:sz w:val="20"/>
          <w:u w:val="single"/>
        </w:rPr>
        <w:t>Line of Business</w:t>
      </w:r>
      <w:r>
        <w:rPr>
          <w:rFonts w:cs="Arial" w:ascii="Arial" w:hAnsi="Arial"/>
          <w:sz w:val="20"/>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w:ascii="Arial" w:hAnsi="Arial"/>
          <w:sz w:val="20"/>
          <w:u w:val="single"/>
        </w:rPr>
        <w:t>No Reliance</w:t>
      </w:r>
      <w:r>
        <w:rPr>
          <w:rFonts w:cs="Arial" w:ascii="Arial" w:hAnsi="Arial"/>
          <w:sz w:val="20"/>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Fonts w:cs="Arial" w:ascii="Arial" w:hAnsi="Arial"/>
          <w:sz w:val="20"/>
        </w:rPr>
        <w:t xml:space="preserve">2. </w:t>
      </w:r>
      <w:r>
        <w:rPr>
          <w:rFonts w:cs="Arial" w:ascii="Arial" w:hAnsi="Arial"/>
          <w:b/>
          <w:sz w:val="20"/>
          <w:u w:val="single"/>
        </w:rPr>
        <w:t>Payments</w:t>
      </w:r>
      <w:r>
        <w:rPr>
          <w:rFonts w:cs="Arial" w:ascii="Arial" w:hAnsi="Arial"/>
          <w:sz w:val="20"/>
        </w:rPr>
        <w:t xml:space="preserve">. For each Determination Period, on the applicable Payment Date with respect to (a) a </w:t>
      </w:r>
      <w:r>
        <w:rPr>
          <w:rFonts w:cs="Arial" w:ascii="Arial" w:hAnsi="Arial"/>
          <w:sz w:val="20"/>
          <w:u w:val="single"/>
        </w:rPr>
        <w:t>SWAP</w:t>
      </w:r>
      <w:r>
        <w:rPr>
          <w:rFonts w:cs="Arial" w:ascii="Arial" w:hAnsi="Arial"/>
          <w:sz w:val="20"/>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w:ascii="Arial" w:hAnsi="Arial"/>
          <w:sz w:val="20"/>
          <w:u w:val="single"/>
        </w:rPr>
        <w:t>OPTION</w:t>
      </w:r>
      <w:r>
        <w:rPr>
          <w:rFonts w:cs="Arial" w:ascii="Arial" w:hAnsi="Arial"/>
          <w:sz w:val="20"/>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w:ascii="Arial" w:hAnsi="Arial"/>
          <w:sz w:val="20"/>
          <w:u w:val="single"/>
        </w:rPr>
        <w:t>Collar</w:t>
      </w:r>
      <w:r>
        <w:rPr>
          <w:rFonts w:cs="Arial" w:ascii="Arial" w:hAnsi="Arial"/>
          <w:sz w:val="20"/>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w:ascii="Arial" w:hAnsi="Arial"/>
          <w:sz w:val="20"/>
          <w:u w:val="single"/>
        </w:rPr>
        <w:t>Swaption</w:t>
      </w:r>
      <w:r>
        <w:rPr>
          <w:rFonts w:cs="Arial" w:ascii="Arial" w:hAnsi="Arial"/>
          <w:sz w:val="20"/>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w:ascii="Arial" w:hAnsi="Arial"/>
          <w:sz w:val="20"/>
          <w:u w:val="single"/>
        </w:rPr>
        <w:t>Premium</w:t>
      </w:r>
      <w:r>
        <w:rPr>
          <w:rFonts w:cs="Arial" w:ascii="Arial" w:hAnsi="Arial"/>
          <w:sz w:val="20"/>
        </w:rPr>
        <w:t xml:space="preserve"> (if any) for an Option, Collar or Swaption, the Total Premium is due and payable by the Buyer or Premium Payor (as the case may be) to the other party on the Premium Payment Date(s).</w:t>
      </w:r>
    </w:p>
    <w:p>
      <w:pPr>
        <w:pStyle w:val="Normal"/>
        <w:jc w:val="both"/>
        <w:rPr>
          <w:rFonts w:ascii="Arial" w:hAnsi="Arial" w:cs="Arial"/>
          <w:sz w:val="20"/>
        </w:rPr>
      </w:pPr>
      <w:r>
        <w:rPr>
          <w:rFonts w:cs="Arial" w:ascii="Arial" w:hAnsi="Arial"/>
          <w:sz w:val="20"/>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Fonts w:cs="Arial" w:ascii="Arial" w:hAnsi="Arial"/>
          <w:sz w:val="20"/>
        </w:rPr>
        <w:t xml:space="preserve">3. </w:t>
      </w:r>
      <w:r>
        <w:rPr>
          <w:rFonts w:cs="Arial" w:ascii="Arial" w:hAnsi="Arial"/>
          <w:b/>
          <w:sz w:val="20"/>
          <w:u w:val="single"/>
        </w:rPr>
        <w:t>Events of Default</w:t>
      </w:r>
      <w:r>
        <w:rPr>
          <w:rFonts w:cs="Arial" w:ascii="Arial" w:hAnsi="Arial"/>
          <w:sz w:val="20"/>
        </w:rPr>
        <w:t>. An event of default ("Event of Default") shall mean with respect to a party (the "Defaulting Party") any of the following: (a) the failure by the Defaulting Party to make, when due, any payment required under this Transaction if such failure is not remedied within 2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this Transaction; or (f) an event of default occurs (howsoever determined) under any other Derivative Transaction between the parties.</w:t>
      </w:r>
    </w:p>
    <w:p>
      <w:pPr>
        <w:pStyle w:val="Normal"/>
        <w:jc w:val="both"/>
        <w:rPr>
          <w:rFonts w:ascii="Arial" w:hAnsi="Arial" w:cs="Arial"/>
          <w:sz w:val="20"/>
        </w:rPr>
      </w:pPr>
      <w:r>
        <w:rPr>
          <w:rFonts w:cs="Arial" w:ascii="Arial" w:hAnsi="Arial"/>
          <w:sz w:val="20"/>
        </w:rPr>
        <w:t xml:space="preserve">4. </w:t>
      </w:r>
      <w:r>
        <w:rPr>
          <w:rFonts w:cs="Arial" w:ascii="Arial" w:hAnsi="Arial"/>
          <w:b/>
          <w:sz w:val="20"/>
          <w:u w:val="single"/>
        </w:rPr>
        <w:t>Remedies</w:t>
      </w:r>
      <w:r>
        <w:rPr>
          <w:rFonts w:cs="Arial" w:ascii="Arial" w:hAnsi="Arial"/>
          <w:sz w:val="20"/>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cs="Arial" w:ascii="Arial" w:hAnsi="Arial"/>
          <w:sz w:val="20"/>
          <w:u w:val="single"/>
        </w:rPr>
        <w:t>Costs</w:t>
      </w:r>
      <w:r>
        <w:rPr>
          <w:rFonts w:cs="Arial" w:ascii="Arial" w:hAnsi="Arial"/>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w:ascii="Arial" w:hAnsi="Arial"/>
          <w:sz w:val="20"/>
          <w:u w:val="single"/>
        </w:rPr>
        <w:t>Gains</w:t>
      </w:r>
      <w:r>
        <w:rPr>
          <w:rFonts w:cs="Arial" w:ascii="Arial" w:hAnsi="Arial"/>
          <w:sz w:val="20"/>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w:ascii="Arial" w:hAnsi="Arial"/>
          <w:sz w:val="20"/>
          <w:u w:val="single"/>
        </w:rPr>
        <w:t>Losses</w:t>
      </w:r>
      <w:r>
        <w:rPr>
          <w:rFonts w:cs="Arial" w:ascii="Arial" w:hAnsi="Arial"/>
          <w:sz w:val="20"/>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jc w:val="both"/>
        <w:rPr/>
      </w:pPr>
      <w:r>
        <w:rPr>
          <w:rFonts w:cs="Arial" w:ascii="Arial" w:hAnsi="Arial"/>
          <w:sz w:val="20"/>
        </w:rPr>
        <w:t xml:space="preserve">5. </w:t>
      </w:r>
      <w:r>
        <w:rPr>
          <w:rFonts w:cs="Arial" w:ascii="Arial" w:hAnsi="Arial"/>
          <w:b/>
          <w:sz w:val="20"/>
          <w:u w:val="single"/>
        </w:rPr>
        <w:t>Setoff</w:t>
      </w:r>
      <w:r>
        <w:rPr>
          <w:rFonts w:cs="Arial" w:ascii="Arial" w:hAnsi="Arial"/>
          <w:sz w:val="20"/>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Fonts w:cs="Arial" w:ascii="Arial" w:hAnsi="Arial"/>
          <w:sz w:val="20"/>
        </w:rPr>
        <w:t xml:space="preserve">6. </w:t>
      </w:r>
      <w:r>
        <w:rPr>
          <w:rFonts w:cs="Arial" w:ascii="Arial" w:hAnsi="Arial"/>
          <w:b/>
          <w:sz w:val="20"/>
          <w:u w:val="single"/>
        </w:rPr>
        <w:t>Miscellaneous</w:t>
      </w:r>
      <w:r>
        <w:rPr>
          <w:rFonts w:cs="Arial" w:ascii="Arial" w:hAnsi="Arial"/>
          <w:sz w:val="20"/>
        </w:rPr>
        <w:t>. The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jc w:val="both"/>
        <w:rPr>
          <w:rFonts w:ascii="Arial" w:hAnsi="Arial" w:cs="Arial"/>
          <w:sz w:val="20"/>
        </w:rPr>
      </w:pPr>
      <w:r>
        <w:rPr>
          <w:rFonts w:cs="Arial" w:ascii="Arial" w:hAnsi="Arial"/>
          <w:sz w:val="20"/>
        </w:rPr>
        <w:t>Any dispute relating to this Transaction shall be resolved by binding arbitration conducted in accordance with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jc w:val="both"/>
        <w:rPr>
          <w:rFonts w:ascii="Arial" w:hAnsi="Arial" w:cs="Arial"/>
          <w:sz w:val="20"/>
        </w:rPr>
      </w:pPr>
      <w:r>
        <w:rPr>
          <w:rFonts w:cs="Arial" w:ascii="Arial" w:hAnsi="Arial"/>
          <w:sz w:val="20"/>
        </w:rPr>
        <w:t>The parties hereby have requested that this Transaction be drafted in the English language and that all present and future Confirmations be drafted in the English language. Les parties aux présentes ont requis que cette convention ainsi que toutes les présentes et futures confirmations soient rédigées en langue anglaise</w:t>
      </w:r>
    </w:p>
    <w:p>
      <w:pPr>
        <w:pStyle w:val="Normal"/>
        <w:jc w:val="both"/>
        <w:rPr/>
      </w:pPr>
      <w:r>
        <w:rPr>
          <w:rFonts w:cs="Arial" w:ascii="Arial" w:hAnsi="Arial"/>
          <w:sz w:val="20"/>
        </w:rPr>
        <w:t xml:space="preserve">7. </w:t>
      </w:r>
      <w:r>
        <w:rPr>
          <w:rFonts w:cs="Arial" w:ascii="Arial" w:hAnsi="Arial"/>
          <w:b/>
          <w:sz w:val="20"/>
          <w:u w:val="single"/>
        </w:rPr>
        <w:t>Market Disruption</w:t>
      </w:r>
      <w:r>
        <w:rPr>
          <w:rFonts w:cs="Arial" w:ascii="Arial" w:hAnsi="Arial"/>
          <w:sz w:val="20"/>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 </w:t>
      </w:r>
    </w:p>
    <w:p>
      <w:pPr>
        <w:pStyle w:val="Normal"/>
        <w:jc w:val="both"/>
        <w:rPr/>
      </w:pPr>
      <w:r>
        <w:rPr>
          <w:rFonts w:cs="Arial" w:ascii="Arial" w:hAnsi="Arial"/>
          <w:sz w:val="20"/>
        </w:rPr>
        <w:t xml:space="preserve">8. </w:t>
      </w:r>
      <w:r>
        <w:rPr>
          <w:rFonts w:cs="Arial" w:ascii="Arial" w:hAnsi="Arial"/>
          <w:b/>
          <w:sz w:val="20"/>
          <w:u w:val="single"/>
        </w:rPr>
        <w:t>Collateral Arrangements.</w:t>
      </w:r>
      <w:r>
        <w:rPr>
          <w:rFonts w:cs="Arial" w:ascii="Arial" w:hAnsi="Arial"/>
          <w:b/>
          <w:sz w:val="20"/>
        </w:rPr>
        <w:t xml:space="preserve"> </w:t>
      </w:r>
      <w:r>
        <w:rPr>
          <w:rFonts w:cs="Arial" w:ascii="Arial" w:hAnsi="Arial"/>
          <w:sz w:val="20"/>
        </w:rPr>
        <w:t>Counterparty shall (at Enron’s request)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parent company guarantee in such form and for such amount as is acceptable to Enron in its absolute discretion. Failure so to provide such letter of credit or parent company guaranty shall constitute a default hereunder giving rise to the immediate right of termination by Enron under this GTC.</w:t>
      </w:r>
    </w:p>
    <w:p>
      <w:pPr>
        <w:pStyle w:val="Normal"/>
        <w:jc w:val="both"/>
        <w:rPr/>
      </w:pPr>
      <w:r>
        <w:rPr>
          <w:rFonts w:cs="Arial" w:ascii="Arial" w:hAnsi="Arial"/>
          <w:sz w:val="20"/>
        </w:rPr>
        <w:t xml:space="preserve">9. </w:t>
      </w:r>
      <w:r>
        <w:rPr>
          <w:rFonts w:cs="Arial" w:ascii="Arial" w:hAnsi="Arial"/>
          <w:b/>
          <w:sz w:val="20"/>
          <w:u w:val="single"/>
        </w:rPr>
        <w:t>General Definitions</w:t>
      </w:r>
      <w:r>
        <w:rPr>
          <w:rFonts w:cs="Arial" w:ascii="Arial" w:hAnsi="Arial"/>
          <w:sz w:val="20"/>
        </w:rPr>
        <w:t>. Terms used, but not defined in this GTC, are used with the meanings provided on the Website or in any written confirmation. As used in this GTC:</w:t>
      </w:r>
    </w:p>
    <w:p>
      <w:pPr>
        <w:pStyle w:val="Normal"/>
        <w:jc w:val="both"/>
        <w:rPr/>
      </w:pPr>
      <w:r>
        <w:rPr>
          <w:rFonts w:cs="Arial" w:ascii="Arial" w:hAnsi="Arial"/>
          <w:i/>
          <w:sz w:val="20"/>
        </w:rPr>
        <w:t>"</w:t>
      </w:r>
      <w:r>
        <w:rPr>
          <w:rFonts w:cs="Arial" w:ascii="Arial" w:hAnsi="Arial"/>
          <w:i/>
          <w:sz w:val="20"/>
          <w:u w:val="single"/>
        </w:rPr>
        <w:t>Affiliate</w:t>
      </w:r>
      <w:r>
        <w:rPr>
          <w:rFonts w:cs="Arial" w:ascii="Arial" w:hAnsi="Arial"/>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jc w:val="both"/>
        <w:rPr/>
      </w:pPr>
      <w:r>
        <w:rPr>
          <w:rFonts w:cs="Arial" w:ascii="Arial" w:hAnsi="Arial"/>
          <w:sz w:val="20"/>
        </w:rPr>
        <w:t>"</w:t>
      </w:r>
      <w:r>
        <w:rPr>
          <w:rFonts w:cs="Arial" w:ascii="Arial" w:hAnsi="Arial"/>
          <w:i/>
          <w:sz w:val="20"/>
          <w:u w:val="single"/>
        </w:rPr>
        <w:t>American</w:t>
      </w:r>
      <w:r>
        <w:rPr>
          <w:rFonts w:cs="Arial" w:ascii="Arial" w:hAnsi="Arial"/>
          <w:sz w:val="20"/>
        </w:rPr>
        <w:t>" means a style of Option pursuant to which the right(s) granted are exercisable on any Business Day during an Exercise Period that consists of more than one day.</w:t>
      </w:r>
    </w:p>
    <w:p>
      <w:pPr>
        <w:pStyle w:val="Normal"/>
        <w:jc w:val="both"/>
        <w:rPr/>
      </w:pPr>
      <w:r>
        <w:rPr>
          <w:rFonts w:cs="Arial" w:ascii="Arial" w:hAnsi="Arial"/>
          <w:sz w:val="20"/>
        </w:rPr>
        <w:t>"</w:t>
      </w:r>
      <w:r>
        <w:rPr>
          <w:rFonts w:cs="Arial" w:ascii="Arial" w:hAnsi="Arial"/>
          <w:i/>
          <w:sz w:val="20"/>
          <w:u w:val="single"/>
        </w:rPr>
        <w:t>Asian</w:t>
      </w:r>
      <w:r>
        <w:rPr>
          <w:rFonts w:cs="Arial" w:ascii="Arial" w:hAnsi="Arial"/>
          <w:i/>
          <w:sz w:val="20"/>
        </w:rPr>
        <w:t>"</w:t>
      </w:r>
      <w:r>
        <w:rPr>
          <w:rFonts w:cs="Arial" w:ascii="Arial" w:hAnsi="Arial"/>
          <w:sz w:val="20"/>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jc w:val="both"/>
        <w:rPr/>
      </w:pPr>
      <w:r>
        <w:rPr>
          <w:rFonts w:cs="Arial" w:ascii="Arial" w:hAnsi="Arial"/>
          <w:sz w:val="20"/>
        </w:rPr>
        <w:t>"</w:t>
      </w:r>
      <w:r>
        <w:rPr>
          <w:rFonts w:cs="Arial" w:ascii="Arial" w:hAnsi="Arial"/>
          <w:i/>
          <w:sz w:val="20"/>
          <w:u w:val="single"/>
        </w:rPr>
        <w:t>Automatic Exercise</w:t>
      </w:r>
      <w:r>
        <w:rPr>
          <w:rFonts w:cs="Arial" w:ascii="Arial" w:hAnsi="Arial"/>
          <w:sz w:val="20"/>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jc w:val="both"/>
        <w:rPr/>
      </w:pPr>
      <w:r>
        <w:rPr>
          <w:rFonts w:cs="Arial" w:ascii="Arial" w:hAnsi="Arial"/>
          <w:sz w:val="20"/>
        </w:rPr>
        <w:t>"</w:t>
      </w:r>
      <w:r>
        <w:rPr>
          <w:rFonts w:cs="Arial" w:ascii="Arial" w:hAnsi="Arial"/>
          <w:i/>
          <w:sz w:val="20"/>
          <w:u w:val="single"/>
        </w:rPr>
        <w:t>Business Day</w:t>
      </w:r>
      <w:r>
        <w:rPr>
          <w:rFonts w:cs="Arial" w:ascii="Arial" w:hAnsi="Arial"/>
          <w:sz w:val="20"/>
        </w:rPr>
        <w:t>" means a day on which commercial banks are open for business in New York, New York, and Houston, Texas.</w:t>
      </w:r>
    </w:p>
    <w:p>
      <w:pPr>
        <w:pStyle w:val="Normal"/>
        <w:jc w:val="both"/>
        <w:rPr/>
      </w:pPr>
      <w:r>
        <w:rPr>
          <w:rFonts w:cs="Arial" w:ascii="Arial" w:hAnsi="Arial"/>
          <w:sz w:val="20"/>
        </w:rPr>
        <w:t>"</w:t>
      </w:r>
      <w:r>
        <w:rPr>
          <w:rFonts w:cs="Arial" w:ascii="Arial" w:hAnsi="Arial"/>
          <w:i/>
          <w:sz w:val="20"/>
          <w:u w:val="single"/>
        </w:rPr>
        <w:t>Call</w:t>
      </w:r>
      <w:r>
        <w:rPr>
          <w:rFonts w:cs="Arial" w:ascii="Arial" w:hAnsi="Arial"/>
          <w:sz w:val="20"/>
        </w:rPr>
        <w:t>" means an Option entitling Buyer to receive after exercise the Cash Settlement Amount on the applicable Payment Date(s) if the Floating Price exceeds the Strike Price.</w:t>
      </w:r>
    </w:p>
    <w:p>
      <w:pPr>
        <w:pStyle w:val="Normal"/>
        <w:jc w:val="both"/>
        <w:rPr/>
      </w:pPr>
      <w:r>
        <w:rPr>
          <w:rFonts w:cs="Arial" w:ascii="Arial" w:hAnsi="Arial"/>
          <w:sz w:val="20"/>
        </w:rPr>
        <w:t>"</w:t>
      </w:r>
      <w:r>
        <w:rPr>
          <w:rFonts w:cs="Arial" w:ascii="Arial" w:hAnsi="Arial"/>
          <w:i/>
          <w:sz w:val="20"/>
          <w:u w:val="single"/>
        </w:rPr>
        <w:t>Cap Amount</w:t>
      </w:r>
      <w:r>
        <w:rPr>
          <w:rFonts w:cs="Arial" w:ascii="Arial" w:hAnsi="Arial"/>
          <w:sz w:val="20"/>
        </w:rPr>
        <w:t>" means an amount equal to the product of (a) the Notional Quantity per Determination Period multiplied by (b) the Cap Price, or as otherwise provided in the Transaction.</w:t>
      </w:r>
    </w:p>
    <w:p>
      <w:pPr>
        <w:pStyle w:val="Normal"/>
        <w:jc w:val="both"/>
        <w:rPr/>
      </w:pPr>
      <w:r>
        <w:rPr>
          <w:rFonts w:cs="Arial" w:ascii="Arial" w:hAnsi="Arial"/>
          <w:sz w:val="20"/>
        </w:rPr>
        <w:t>"</w:t>
      </w:r>
      <w:r>
        <w:rPr>
          <w:rFonts w:cs="Arial" w:ascii="Arial" w:hAnsi="Arial"/>
          <w:i/>
          <w:sz w:val="20"/>
          <w:u w:val="single"/>
        </w:rPr>
        <w:t>Cash Settlement Amount</w:t>
      </w:r>
      <w:r>
        <w:rPr>
          <w:rFonts w:cs="Arial" w:ascii="Arial" w:hAnsi="Arial"/>
          <w:sz w:val="20"/>
        </w:rPr>
        <w:t>" means, in respect of an Option, an amount (if any) that is payable by Seller on the applicable Payment Date(s) and is determined as provided in the Transaction governing such Option.</w:t>
      </w:r>
    </w:p>
    <w:p>
      <w:pPr>
        <w:pStyle w:val="Normal"/>
        <w:jc w:val="both"/>
        <w:rPr/>
      </w:pPr>
      <w:r>
        <w:rPr>
          <w:rFonts w:cs="Arial" w:ascii="Arial" w:hAnsi="Arial"/>
          <w:sz w:val="20"/>
        </w:rPr>
        <w:t>"</w:t>
      </w:r>
      <w:r>
        <w:rPr>
          <w:rFonts w:cs="Arial" w:ascii="Arial" w:hAnsi="Arial"/>
          <w:i/>
          <w:sz w:val="20"/>
          <w:u w:val="single"/>
        </w:rPr>
        <w:t>Derivative Transaction</w:t>
      </w:r>
      <w:r>
        <w:rPr>
          <w:rFonts w:cs="Arial" w:ascii="Arial" w:hAnsi="Arial"/>
          <w:sz w:val="20"/>
        </w:rPr>
        <w:t>" means all swap, option or other financially-settled derivative transactions between the parties.</w:t>
      </w:r>
    </w:p>
    <w:p>
      <w:pPr>
        <w:pStyle w:val="Normal"/>
        <w:jc w:val="both"/>
        <w:rPr/>
      </w:pPr>
      <w:r>
        <w:rPr>
          <w:rFonts w:cs="Arial" w:ascii="Arial" w:hAnsi="Arial"/>
          <w:i/>
          <w:sz w:val="20"/>
        </w:rPr>
        <w:t>"</w:t>
      </w:r>
      <w:r>
        <w:rPr>
          <w:rFonts w:cs="Arial" w:ascii="Arial" w:hAnsi="Arial"/>
          <w:i/>
          <w:sz w:val="20"/>
          <w:u w:val="single"/>
        </w:rPr>
        <w:t>Determination Period</w:t>
      </w:r>
      <w:r>
        <w:rPr>
          <w:rFonts w:cs="Arial" w:ascii="Arial" w:hAnsi="Arial"/>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pPr>
      <w:r>
        <w:rPr>
          <w:rFonts w:cs="Arial" w:ascii="Arial" w:hAnsi="Arial"/>
          <w:sz w:val="20"/>
        </w:rPr>
        <w:t>"</w:t>
      </w:r>
      <w:r>
        <w:rPr>
          <w:rFonts w:cs="Arial" w:ascii="Arial" w:hAnsi="Arial"/>
          <w:i/>
          <w:sz w:val="20"/>
          <w:u w:val="single"/>
        </w:rPr>
        <w:t>European</w:t>
      </w:r>
      <w:r>
        <w:rPr>
          <w:rFonts w:cs="Arial" w:ascii="Arial" w:hAnsi="Arial"/>
          <w:i/>
          <w:sz w:val="20"/>
        </w:rPr>
        <w:t>"</w:t>
      </w:r>
      <w:r>
        <w:rPr>
          <w:rFonts w:cs="Arial" w:ascii="Arial" w:hAnsi="Arial"/>
          <w:sz w:val="20"/>
        </w:rPr>
        <w:t xml:space="preserve"> means a style of Option pursuant to which the right(s) granted are exercisable only on the one day designated as the Exercise Period in the Transaction, if any.</w:t>
      </w:r>
    </w:p>
    <w:p>
      <w:pPr>
        <w:pStyle w:val="Normal"/>
        <w:jc w:val="both"/>
        <w:rPr/>
      </w:pPr>
      <w:r>
        <w:rPr>
          <w:rFonts w:cs="Arial" w:ascii="Arial" w:hAnsi="Arial"/>
          <w:sz w:val="20"/>
        </w:rPr>
        <w:t>"</w:t>
      </w:r>
      <w:r>
        <w:rPr>
          <w:rFonts w:cs="Arial" w:ascii="Arial" w:hAnsi="Arial"/>
          <w:i/>
          <w:sz w:val="20"/>
          <w:u w:val="single"/>
        </w:rPr>
        <w:t>Fixed Amount</w:t>
      </w:r>
      <w:r>
        <w:rPr>
          <w:rFonts w:cs="Arial" w:ascii="Arial" w:hAnsi="Arial"/>
          <w:sz w:val="20"/>
        </w:rPr>
        <w:t>" means an amount equal to the product of (a) the Notional Quantity per Determination Period multiplied by (b) the Fixed Price, or as otherwise provided in the Transaction.</w:t>
      </w:r>
    </w:p>
    <w:p>
      <w:pPr>
        <w:pStyle w:val="Normal"/>
        <w:jc w:val="both"/>
        <w:rPr/>
      </w:pPr>
      <w:r>
        <w:rPr>
          <w:rFonts w:cs="Arial" w:ascii="Arial" w:hAnsi="Arial"/>
          <w:sz w:val="20"/>
        </w:rPr>
        <w:t>"</w:t>
      </w:r>
      <w:r>
        <w:rPr>
          <w:rFonts w:cs="Arial" w:ascii="Arial" w:hAnsi="Arial"/>
          <w:i/>
          <w:sz w:val="20"/>
          <w:u w:val="single"/>
        </w:rPr>
        <w:t>Fixed Price Payor</w:t>
      </w:r>
      <w:r>
        <w:rPr>
          <w:rFonts w:cs="Arial" w:ascii="Arial" w:hAnsi="Arial"/>
          <w:sz w:val="20"/>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pPr>
      <w:r>
        <w:rPr>
          <w:rFonts w:cs="Arial" w:ascii="Arial" w:hAnsi="Arial"/>
          <w:sz w:val="20"/>
        </w:rPr>
        <w:t>"</w:t>
      </w:r>
      <w:r>
        <w:rPr>
          <w:rFonts w:cs="Arial" w:ascii="Arial" w:hAnsi="Arial"/>
          <w:i/>
          <w:sz w:val="20"/>
          <w:u w:val="single"/>
        </w:rPr>
        <w:t>Floating Amount</w:t>
      </w:r>
      <w:r>
        <w:rPr>
          <w:rFonts w:cs="Arial" w:ascii="Arial" w:hAnsi="Arial"/>
          <w:sz w:val="20"/>
        </w:rPr>
        <w:t>" means an amount equal to the product of (a) the Notional Quantity per Determination Period multiplied by (b) the Floating Price, or as otherwise provided in the Transaction.</w:t>
      </w:r>
    </w:p>
    <w:p>
      <w:pPr>
        <w:pStyle w:val="Normal"/>
        <w:jc w:val="both"/>
        <w:rPr/>
      </w:pPr>
      <w:r>
        <w:rPr>
          <w:rFonts w:cs="Arial" w:ascii="Arial" w:hAnsi="Arial"/>
          <w:sz w:val="20"/>
        </w:rPr>
        <w:t>"</w:t>
      </w:r>
      <w:r>
        <w:rPr>
          <w:rFonts w:cs="Arial" w:ascii="Arial" w:hAnsi="Arial"/>
          <w:i/>
          <w:sz w:val="20"/>
          <w:u w:val="single"/>
        </w:rPr>
        <w:t>Floating Price Payor</w:t>
      </w:r>
      <w:r>
        <w:rPr>
          <w:rFonts w:cs="Arial" w:ascii="Arial" w:hAnsi="Arial"/>
          <w:sz w:val="20"/>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pPr>
      <w:r>
        <w:rPr>
          <w:rFonts w:cs="Arial" w:ascii="Arial" w:hAnsi="Arial"/>
          <w:sz w:val="20"/>
        </w:rPr>
        <w:t>"</w:t>
      </w:r>
      <w:r>
        <w:rPr>
          <w:rFonts w:cs="Arial" w:ascii="Arial" w:hAnsi="Arial"/>
          <w:i/>
          <w:sz w:val="20"/>
          <w:u w:val="single"/>
        </w:rPr>
        <w:t>Floor Amount</w:t>
      </w:r>
      <w:r>
        <w:rPr>
          <w:rFonts w:cs="Arial" w:ascii="Arial" w:hAnsi="Arial"/>
          <w:sz w:val="20"/>
        </w:rPr>
        <w:t>" means an amount equal to the product of (a) the Notional Quantity per Determination Period multiplied by (b) the Floor Price, or as otherwise provided in the Transaction.</w:t>
      </w:r>
    </w:p>
    <w:p>
      <w:pPr>
        <w:pStyle w:val="Normal"/>
        <w:jc w:val="both"/>
        <w:rPr/>
      </w:pPr>
      <w:r>
        <w:rPr>
          <w:rFonts w:cs="Arial" w:ascii="Arial" w:hAnsi="Arial"/>
          <w:sz w:val="20"/>
        </w:rPr>
        <w:t>"</w:t>
      </w:r>
      <w:r>
        <w:rPr>
          <w:rFonts w:cs="Arial" w:ascii="Arial" w:hAnsi="Arial"/>
          <w:i/>
          <w:sz w:val="20"/>
          <w:u w:val="single"/>
        </w:rPr>
        <w:t>Interest Rate</w:t>
      </w:r>
      <w:r>
        <w:rPr>
          <w:rFonts w:cs="Arial" w:ascii="Arial" w:hAnsi="Arial"/>
          <w:sz w:val="20"/>
        </w:rPr>
        <w:t xml:space="preserve">" means (a) with respect to a non-defaulting party, a per annum rate of interest equal to the prime lending rate as may from time to time be published in </w:t>
      </w:r>
      <w:r>
        <w:rPr>
          <w:rFonts w:cs="Arial" w:ascii="Arial" w:hAnsi="Arial"/>
          <w:sz w:val="20"/>
          <w:u w:val="single"/>
        </w:rPr>
        <w:t>The Wall Street Journal</w:t>
      </w:r>
      <w:r>
        <w:rPr>
          <w:rFonts w:cs="Arial" w:ascii="Arial" w:hAnsi="Arial"/>
          <w:sz w:val="20"/>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pPr>
      <w:r>
        <w:rPr>
          <w:rFonts w:cs="Arial" w:ascii="Arial" w:hAnsi="Arial"/>
          <w:sz w:val="20"/>
        </w:rPr>
        <w:t>"</w:t>
      </w:r>
      <w:r>
        <w:rPr>
          <w:rFonts w:cs="Arial" w:ascii="Arial" w:hAnsi="Arial"/>
          <w:i/>
          <w:sz w:val="20"/>
          <w:u w:val="single"/>
        </w:rPr>
        <w:t>Market Disruption Event</w:t>
      </w:r>
      <w:r>
        <w:rPr>
          <w:rFonts w:cs="Arial" w:ascii="Arial" w:hAnsi="Arial"/>
          <w:sz w:val="20"/>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pPr>
      <w:r>
        <w:rPr>
          <w:rFonts w:cs="Arial" w:ascii="Arial" w:hAnsi="Arial"/>
          <w:sz w:val="20"/>
        </w:rPr>
        <w:t>"</w:t>
      </w:r>
      <w:r>
        <w:rPr>
          <w:rFonts w:cs="Arial" w:ascii="Arial" w:hAnsi="Arial"/>
          <w:i/>
          <w:sz w:val="20"/>
          <w:u w:val="single"/>
        </w:rPr>
        <w:t>Notice of Exercise</w:t>
      </w:r>
      <w:r>
        <w:rPr>
          <w:rFonts w:cs="Arial" w:ascii="Arial" w:hAnsi="Arial"/>
          <w:i/>
          <w:sz w:val="20"/>
        </w:rPr>
        <w:t>"</w:t>
      </w:r>
      <w:r>
        <w:rPr>
          <w:rFonts w:cs="Arial" w:ascii="Arial" w:hAnsi="Arial"/>
          <w:sz w:val="20"/>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pPr>
      <w:r>
        <w:rPr>
          <w:rFonts w:cs="Arial" w:ascii="Arial" w:hAnsi="Arial"/>
          <w:sz w:val="20"/>
        </w:rPr>
        <w:t>"</w:t>
      </w:r>
      <w:r>
        <w:rPr>
          <w:rFonts w:cs="Arial" w:ascii="Arial" w:hAnsi="Arial"/>
          <w:i/>
          <w:sz w:val="20"/>
          <w:u w:val="single"/>
        </w:rPr>
        <w:t>Option</w:t>
      </w:r>
      <w:r>
        <w:rPr>
          <w:rFonts w:cs="Arial" w:ascii="Arial" w:hAnsi="Arial"/>
          <w:sz w:val="20"/>
        </w:rPr>
        <w:t>" means a Transaction that is a Call, Put or Swaption.</w:t>
      </w:r>
    </w:p>
    <w:p>
      <w:pPr>
        <w:pStyle w:val="Normal"/>
        <w:jc w:val="both"/>
        <w:rPr/>
      </w:pPr>
      <w:r>
        <w:rPr>
          <w:rFonts w:cs="Arial" w:ascii="Arial" w:hAnsi="Arial"/>
          <w:sz w:val="20"/>
        </w:rPr>
        <w:t>"</w:t>
      </w:r>
      <w:r>
        <w:rPr>
          <w:rFonts w:cs="Arial" w:ascii="Arial" w:hAnsi="Arial"/>
          <w:i/>
          <w:sz w:val="20"/>
          <w:u w:val="single"/>
        </w:rPr>
        <w:t>Put</w:t>
      </w:r>
      <w:r>
        <w:rPr>
          <w:rFonts w:cs="Arial" w:ascii="Arial" w:hAnsi="Arial"/>
          <w:sz w:val="20"/>
        </w:rPr>
        <w:t>" means an Option entitling Buyer to receive after exercise the Cash Settlement Amount on the applicable Payment Date(s) if the Strike Price exceeds the Floating Price.</w:t>
      </w:r>
    </w:p>
    <w:p>
      <w:pPr>
        <w:pStyle w:val="Normal"/>
        <w:jc w:val="both"/>
        <w:rPr/>
      </w:pPr>
      <w:r>
        <w:rPr>
          <w:rFonts w:cs="Arial" w:ascii="Arial" w:hAnsi="Arial"/>
          <w:sz w:val="20"/>
        </w:rPr>
        <w:t>"</w:t>
      </w:r>
      <w:r>
        <w:rPr>
          <w:rFonts w:cs="Arial" w:ascii="Arial" w:hAnsi="Arial"/>
          <w:i/>
          <w:sz w:val="20"/>
          <w:u w:val="single"/>
        </w:rPr>
        <w:t>Swaption</w:t>
      </w:r>
      <w:r>
        <w:rPr>
          <w:rFonts w:cs="Arial" w:ascii="Arial" w:hAnsi="Arial"/>
          <w:i/>
          <w:sz w:val="20"/>
        </w:rPr>
        <w:t>"</w:t>
      </w:r>
      <w:r>
        <w:rPr>
          <w:rFonts w:cs="Arial" w:ascii="Arial" w:hAnsi="Arial"/>
          <w:sz w:val="20"/>
        </w:rPr>
        <w:t xml:space="preserve"> means an Option to cause an Underlying Transaction to become effective.</w:t>
      </w:r>
    </w:p>
    <w:p>
      <w:pPr>
        <w:pStyle w:val="Normal"/>
        <w:jc w:val="both"/>
        <w:rPr/>
      </w:pPr>
      <w:r>
        <w:rPr>
          <w:rFonts w:cs="Arial" w:ascii="Arial" w:hAnsi="Arial"/>
          <w:sz w:val="20"/>
        </w:rPr>
        <w:t>"</w:t>
      </w:r>
      <w:r>
        <w:rPr>
          <w:rFonts w:cs="Arial" w:ascii="Arial" w:hAnsi="Arial"/>
          <w:i/>
          <w:sz w:val="20"/>
          <w:u w:val="single"/>
        </w:rPr>
        <w:t>Trading Day</w:t>
      </w:r>
      <w:r>
        <w:rPr>
          <w:rFonts w:cs="Arial" w:ascii="Arial" w:hAnsi="Arial"/>
          <w:i/>
          <w:sz w:val="20"/>
        </w:rPr>
        <w:t>"</w:t>
      </w:r>
      <w:r>
        <w:rPr>
          <w:rFonts w:cs="Arial" w:ascii="Arial" w:hAnsi="Arial"/>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pPr>
      <w:r>
        <w:rPr>
          <w:rFonts w:cs="Arial" w:ascii="Arial" w:hAnsi="Arial"/>
          <w:sz w:val="20"/>
        </w:rPr>
        <w:t>"</w:t>
      </w:r>
      <w:r>
        <w:rPr>
          <w:rFonts w:cs="Arial" w:ascii="Arial" w:hAnsi="Arial"/>
          <w:i/>
          <w:sz w:val="20"/>
          <w:u w:val="single"/>
        </w:rPr>
        <w:t>Transaction</w:t>
      </w:r>
      <w:r>
        <w:rPr>
          <w:rFonts w:cs="Arial" w:ascii="Arial" w:hAnsi="Arial"/>
          <w:i/>
          <w:sz w:val="20"/>
        </w:rPr>
        <w:t>"</w:t>
      </w:r>
      <w:r>
        <w:rPr>
          <w:rFonts w:cs="Arial" w:ascii="Arial" w:hAnsi="Arial"/>
          <w:sz w:val="20"/>
        </w:rPr>
        <w:t xml:space="preserve"> means this GTC taken together with the terms set forth on the Website submitted by Counterparty and accepted by Enron.</w:t>
      </w:r>
    </w:p>
    <w:p>
      <w:pPr>
        <w:pStyle w:val="Normal"/>
        <w:jc w:val="both"/>
        <w:rPr/>
      </w:pPr>
      <w:r>
        <w:rPr>
          <w:rFonts w:cs="Arial" w:ascii="Arial" w:hAnsi="Arial"/>
          <w:sz w:val="20"/>
        </w:rPr>
        <w:t>"</w:t>
      </w:r>
      <w:r>
        <w:rPr>
          <w:rFonts w:cs="Arial" w:ascii="Arial" w:hAnsi="Arial"/>
          <w:i/>
          <w:sz w:val="20"/>
          <w:u w:val="single"/>
        </w:rPr>
        <w:t>Underlying Transaction</w:t>
      </w:r>
      <w:r>
        <w:rPr>
          <w:rFonts w:cs="Arial" w:ascii="Arial" w:hAnsi="Arial"/>
          <w:sz w:val="20"/>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pPr>
      <w:r>
        <w:rPr>
          <w:rFonts w:cs="Arial" w:ascii="Arial" w:hAnsi="Arial"/>
          <w:sz w:val="20"/>
        </w:rPr>
        <w:t>"</w:t>
      </w:r>
      <w:r>
        <w:rPr>
          <w:rFonts w:cs="Arial" w:ascii="Arial" w:hAnsi="Arial"/>
          <w:i/>
          <w:sz w:val="20"/>
          <w:u w:val="single"/>
        </w:rPr>
        <w:t>Website</w:t>
      </w:r>
      <w:r>
        <w:rPr>
          <w:rFonts w:cs="Arial" w:ascii="Arial" w:hAnsi="Arial"/>
          <w:sz w:val="20"/>
        </w:rPr>
        <w:t>" means the website referencing this GTC.</w:t>
      </w:r>
    </w:p>
    <w:p>
      <w:pPr>
        <w:pStyle w:val="Normal"/>
        <w:spacing w:before="100" w:after="100"/>
        <w:jc w:val="both"/>
        <w:rPr/>
      </w:pPr>
      <w:r>
        <w:rPr>
          <w:rFonts w:cs="Arial" w:ascii="Arial" w:hAnsi="Arial"/>
          <w:sz w:val="20"/>
        </w:rPr>
        <w:t>"</w:t>
      </w:r>
      <w:r>
        <w:rPr>
          <w:rFonts w:cs="Arial" w:ascii="Arial" w:hAnsi="Arial"/>
          <w:i/>
          <w:sz w:val="20"/>
          <w:u w:val="single"/>
        </w:rPr>
        <w:t>Written Confirmation</w:t>
      </w:r>
      <w:r>
        <w:rPr>
          <w:rFonts w:cs="Arial" w:ascii="Arial" w:hAnsi="Arial"/>
          <w:sz w:val="20"/>
        </w:rPr>
        <w:t>" means, if specified to be applicable in the Transaction or if demanded by Seller (which demand may be given orally, including by telephone, or in writing) a written confirmation delivered promptly by Buyer, confirming the substance of the Notice of Exercise.</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1999-08-31T12:13:00Z</dcterms:created>
  <dc:creator>NEdmonds</dc:creator>
  <dc:description/>
  <dc:language>en-CA</dc:language>
  <cp:lastModifiedBy>NEdmonds</cp:lastModifiedBy>
  <dcterms:modified xsi:type="dcterms:W3CDTF">1999-08-31T12:13:00Z</dcterms:modified>
  <cp:revision>2</cp:revision>
  <dc:subject/>
  <dc:title>Draft of 6.19.95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