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u w:val="single"/>
        </w:rPr>
      </w:pPr>
      <w:r>
        <w:rPr>
          <w:b/>
          <w:bCs/>
          <w:sz w:val="22"/>
          <w:u w:val="single"/>
        </w:rPr>
        <w:t>SELECT REVIEW OF CANADIAN FINANCIAL POWER TRANSACTIONS</w:t>
      </w:r>
    </w:p>
    <w:p>
      <w:pPr>
        <w:pStyle w:val="Normal"/>
        <w:jc w:val="center"/>
        <w:rPr>
          <w:b/>
          <w:bCs/>
          <w:sz w:val="22"/>
        </w:rPr>
      </w:pPr>
      <w:r>
        <w:rPr>
          <w:b/>
          <w:bCs/>
          <w:sz w:val="22"/>
        </w:rPr>
        <w:t>ATTORNEY WORK PRODUCT / PRIVILEGED AND CONFIDENTIAL</w:t>
      </w:r>
    </w:p>
    <w:p>
      <w:pPr>
        <w:pStyle w:val="Normal"/>
        <w:rPr>
          <w:b/>
          <w:bCs/>
          <w:sz w:val="22"/>
        </w:rPr>
      </w:pPr>
      <w:r>
        <w:rPr>
          <w:b/>
          <w:bCs/>
          <w:sz w:val="22"/>
        </w:rPr>
      </w:r>
    </w:p>
    <w:p>
      <w:pPr>
        <w:pStyle w:val="Normal"/>
        <w:jc w:val="both"/>
        <w:rPr>
          <w:sz w:val="22"/>
        </w:rPr>
      </w:pPr>
      <w:r>
        <w:rPr>
          <w:sz w:val="22"/>
        </w:rPr>
        <w:t xml:space="preserve">The following provides an assessment of documentation for financial power trades entered into prior to December 1 that have term effective dates on or subsequent to January 1, 2001.  </w:t>
      </w:r>
    </w:p>
    <w:p>
      <w:pPr>
        <w:pStyle w:val="Normal"/>
        <w:jc w:val="both"/>
        <w:rPr>
          <w:sz w:val="22"/>
        </w:rPr>
      </w:pPr>
      <w:r>
        <w:rPr>
          <w:sz w:val="22"/>
        </w:rPr>
      </w:r>
    </w:p>
    <w:p>
      <w:pPr>
        <w:pStyle w:val="Normal"/>
        <w:jc w:val="both"/>
        <w:rPr>
          <w:b/>
          <w:bCs/>
          <w:sz w:val="22"/>
          <w:u w:val="single"/>
        </w:rPr>
      </w:pPr>
      <w:r>
        <w:rPr>
          <w:b/>
          <w:bCs/>
          <w:sz w:val="22"/>
          <w:u w:val="single"/>
        </w:rPr>
        <w:t xml:space="preserve">PART 1.  ENRON DOCUMENTATION STANDARDS </w:t>
      </w:r>
    </w:p>
    <w:p>
      <w:pPr>
        <w:pStyle w:val="Normal"/>
        <w:jc w:val="both"/>
        <w:rPr>
          <w:b/>
          <w:bCs/>
          <w:sz w:val="22"/>
          <w:u w:val="single"/>
        </w:rPr>
      </w:pPr>
      <w:r>
        <w:rPr>
          <w:b/>
          <w:bCs/>
          <w:sz w:val="22"/>
          <w:u w:val="single"/>
        </w:rPr>
      </w:r>
    </w:p>
    <w:p>
      <w:pPr>
        <w:pStyle w:val="Normal"/>
        <w:jc w:val="both"/>
        <w:rPr/>
      </w:pPr>
      <w:r>
        <w:rPr>
          <w:b/>
          <w:bCs/>
          <w:caps/>
          <w:sz w:val="22"/>
        </w:rPr>
        <w:t>Enron ISDA Standard</w:t>
      </w:r>
      <w:r>
        <w:rPr>
          <w:sz w:val="22"/>
        </w:rPr>
        <w:t xml:space="preserve"> means our standard language negotiated into our ISDA Masters.  The standard framework follows.  </w:t>
      </w:r>
    </w:p>
    <w:p>
      <w:pPr>
        <w:pStyle w:val="Normal"/>
        <w:jc w:val="both"/>
        <w:rPr>
          <w:sz w:val="22"/>
        </w:rPr>
      </w:pPr>
      <w:r>
        <w:rPr>
          <w:sz w:val="22"/>
        </w:rPr>
      </w:r>
    </w:p>
    <w:p>
      <w:pPr>
        <w:pStyle w:val="Normal"/>
        <w:jc w:val="both"/>
        <w:rPr/>
      </w:pPr>
      <w:r>
        <w:rPr>
          <w:sz w:val="22"/>
        </w:rPr>
        <w:t xml:space="preserve">"Market Disruption Events" are specified as (i) Price Source Disruption (the price source is unavailable), (ii) Trading Suspension (lack of futures trading on Exchange), (iii) Disappearance of Commodity Reference Price (no trading in futures contract or commodity), </w:t>
      </w:r>
      <w:r>
        <w:rPr>
          <w:i/>
          <w:iCs/>
          <w:sz w:val="22"/>
        </w:rPr>
        <w:t>(iv) Material Change in Formula (the occurrence since the Trade Date of a "material change in the formula for or the method of calculating the relevant Commodity Reference Price"), (v) Material Change in Content (the occurrence since the Trade Date of a "material change in the content, composition or constitution of the Commodity or the relevant Futures Contract"),</w:t>
      </w:r>
      <w:r>
        <w:rPr>
          <w:sz w:val="22"/>
        </w:rPr>
        <w:t xml:space="preserve"> and (vi) Trading Limitation (certain specified Exchange limits effected).  Additional Market Disruption Events may be specified in a confirmation, but typically they are not specified by Enron.  </w:t>
      </w:r>
    </w:p>
    <w:p>
      <w:pPr>
        <w:pStyle w:val="Normal"/>
        <w:jc w:val="both"/>
        <w:rPr>
          <w:sz w:val="22"/>
        </w:rPr>
      </w:pPr>
      <w:r>
        <w:rPr>
          <w:sz w:val="22"/>
        </w:rPr>
      </w:r>
    </w:p>
    <w:p>
      <w:pPr>
        <w:pStyle w:val="Normal"/>
        <w:jc w:val="both"/>
        <w:rPr/>
      </w:pPr>
      <w:r>
        <w:rPr>
          <w:b/>
          <w:bCs/>
          <w:sz w:val="22"/>
        </w:rPr>
        <w:t>Enron Position Analysis</w:t>
      </w:r>
      <w:r>
        <w:rPr>
          <w:sz w:val="22"/>
        </w:rPr>
        <w:t>:  The Alberta Pool rule changes (or other government act causing Alberta Pool rule changes) are not Market Disruption Events.  Counterargument would most likely fall under item (iv) as a change in formula or method.</w:t>
      </w:r>
    </w:p>
    <w:p>
      <w:pPr>
        <w:pStyle w:val="Normal"/>
        <w:jc w:val="both"/>
        <w:rPr>
          <w:sz w:val="22"/>
        </w:rPr>
      </w:pPr>
      <w:r>
        <w:rPr>
          <w:sz w:val="22"/>
        </w:rPr>
      </w:r>
    </w:p>
    <w:p>
      <w:pPr>
        <w:pStyle w:val="Normal"/>
        <w:jc w:val="both"/>
        <w:rPr>
          <w:sz w:val="22"/>
        </w:rPr>
      </w:pPr>
      <w:r>
        <w:rPr>
          <w:sz w:val="22"/>
        </w:rPr>
        <w:t>If a Market Disruption Event is determined to have occurred, then resulting actions are specified as Disruption Fallbacks.</w:t>
      </w:r>
    </w:p>
    <w:p>
      <w:pPr>
        <w:pStyle w:val="Normal"/>
        <w:jc w:val="both"/>
        <w:rPr>
          <w:sz w:val="22"/>
        </w:rPr>
      </w:pPr>
      <w:r>
        <w:rPr>
          <w:sz w:val="22"/>
        </w:rPr>
      </w:r>
    </w:p>
    <w:p>
      <w:pPr>
        <w:pStyle w:val="Normal"/>
        <w:jc w:val="both"/>
        <w:rPr>
          <w:sz w:val="22"/>
        </w:rPr>
      </w:pPr>
      <w:r>
        <w:rPr>
          <w:sz w:val="22"/>
        </w:rPr>
        <w:t xml:space="preserve">"Disruption Fallbacks" are specified in the following order: (i) Postponement up to 3 Commodity Business Days (price within said 3 days, if possible), (ii) Fallback Reference Price (if alternate pricing source is provided for in the confirmation, but for Alberta Pool there has been no alternate), (iii) Negotiated Fallback (parties negotiate and agree within 5 Business Days), and (iv) Commodity-Reference Dealers (obtain quotes from two dealers).  Enron intentionally omits "No Fault Termination" and 7.5(e), which provides for the termination of the transaction if the Disruption Fallbacks do not provide a Relevant Price. </w:t>
      </w:r>
    </w:p>
    <w:p>
      <w:pPr>
        <w:pStyle w:val="Normal"/>
        <w:jc w:val="both"/>
        <w:rPr>
          <w:sz w:val="22"/>
        </w:rPr>
      </w:pPr>
      <w:r>
        <w:rPr>
          <w:sz w:val="22"/>
        </w:rPr>
      </w:r>
    </w:p>
    <w:p>
      <w:pPr>
        <w:pStyle w:val="Normal"/>
        <w:jc w:val="both"/>
        <w:rPr/>
      </w:pPr>
      <w:r>
        <w:rPr>
          <w:b/>
          <w:bCs/>
          <w:sz w:val="22"/>
        </w:rPr>
        <w:t>Enron Position Analysis</w:t>
      </w:r>
      <w:r>
        <w:rPr>
          <w:sz w:val="22"/>
        </w:rPr>
        <w:t>:  Items (i) and (ii) will not reasonably apply.  Item (iii) should then be attempted (requires good faith of the parties).  Item (iv) would require obtaining quotes from dealers on the basis of criteria existing prior to the Market Disruption Event.  Due to difficulty in obtaining item (iv), the parties are more likely to reach agreement under (iii) or face arbitration or court for resolution (see below).</w:t>
      </w:r>
    </w:p>
    <w:p>
      <w:pPr>
        <w:pStyle w:val="Normal"/>
        <w:jc w:val="both"/>
        <w:rPr>
          <w:sz w:val="22"/>
        </w:rPr>
      </w:pPr>
      <w:r>
        <w:rPr>
          <w:sz w:val="22"/>
        </w:rPr>
      </w:r>
    </w:p>
    <w:p>
      <w:pPr>
        <w:pStyle w:val="Normal"/>
        <w:jc w:val="both"/>
        <w:rPr>
          <w:sz w:val="22"/>
        </w:rPr>
      </w:pPr>
      <w:r>
        <w:rPr>
          <w:sz w:val="22"/>
        </w:rPr>
        <w:t xml:space="preserve">Dispute resolution is determined by arbitration provisions included in the contract, except where Canadian law applies because commercial disputes are tried to the court not jury.  The dispute resolution mechanism would apply to determine the Relevant Price if Disruption Fallbacks failed to provide the Relevant Price.    </w:t>
      </w:r>
    </w:p>
    <w:p>
      <w:pPr>
        <w:pStyle w:val="Normal"/>
        <w:jc w:val="both"/>
        <w:rPr>
          <w:sz w:val="22"/>
        </w:rPr>
      </w:pPr>
      <w:r>
        <w:rPr>
          <w:sz w:val="22"/>
        </w:rPr>
      </w:r>
    </w:p>
    <w:p>
      <w:pPr>
        <w:pStyle w:val="Normal"/>
        <w:jc w:val="both"/>
        <w:rPr/>
      </w:pPr>
      <w:r>
        <w:rPr>
          <w:b/>
          <w:bCs/>
          <w:sz w:val="22"/>
        </w:rPr>
        <w:t>Enron Position Analysis</w:t>
      </w:r>
      <w:r>
        <w:rPr>
          <w:sz w:val="22"/>
        </w:rPr>
        <w:t>:  Arbitration (or court) is required.  The transaction cannot be terminated if Disruption Fallbacks do not establish a Relevant Price.  Intent of the parties is shown by the deletion of the "no fault termination" provisions.</w:t>
      </w:r>
    </w:p>
    <w:p>
      <w:pPr>
        <w:pStyle w:val="Normal"/>
        <w:jc w:val="both"/>
        <w:rPr>
          <w:sz w:val="22"/>
        </w:rPr>
      </w:pPr>
      <w:r>
        <w:rPr>
          <w:sz w:val="22"/>
        </w:rPr>
        <w:t xml:space="preserve"> </w:t>
      </w:r>
    </w:p>
    <w:p>
      <w:pPr>
        <w:pStyle w:val="Normal"/>
        <w:jc w:val="both"/>
        <w:rPr/>
      </w:pPr>
      <w:r>
        <w:rPr>
          <w:b/>
          <w:bCs/>
          <w:caps/>
          <w:sz w:val="22"/>
        </w:rPr>
        <w:t>Enron FINANCIAL OmNIBUS (gtc) Standard</w:t>
      </w:r>
      <w:r>
        <w:rPr>
          <w:sz w:val="22"/>
        </w:rPr>
        <w:t xml:space="preserve"> means our standard language negotiated in our financial omnibus confirmations.  The financial omnibus framework is similar to the Enron ISDA Standard framework, except Negotiated Fallback is for 12 Business Days.  Further, there is no provision for no fault termination included.  If Canadian law does not apply, arbitration is standard.  Otherwise, under Canadian law this type of commercial dispute is not tried to a jury and our forms do not provide for arbitration.  Regardless or whether arbitration is included, the Enron position is that some forum will determine the pricing and method for pricing.</w:t>
      </w:r>
    </w:p>
    <w:p>
      <w:pPr>
        <w:pStyle w:val="Normal"/>
        <w:jc w:val="both"/>
        <w:rPr>
          <w:sz w:val="22"/>
        </w:rPr>
      </w:pPr>
      <w:r>
        <w:rPr>
          <w:sz w:val="22"/>
        </w:rPr>
      </w:r>
    </w:p>
    <w:p>
      <w:pPr>
        <w:pStyle w:val="Normal"/>
        <w:jc w:val="both"/>
        <w:rPr>
          <w:b/>
          <w:bCs/>
          <w:sz w:val="22"/>
          <w:u w:val="single"/>
        </w:rPr>
      </w:pPr>
      <w:r>
        <w:rPr>
          <w:b/>
          <w:bCs/>
          <w:sz w:val="22"/>
          <w:u w:val="single"/>
        </w:rPr>
        <w:t>PART 2.  SPECIFIC CONTRACTS</w:t>
      </w:r>
    </w:p>
    <w:p>
      <w:pPr>
        <w:pStyle w:val="Normal"/>
        <w:jc w:val="both"/>
        <w:rPr>
          <w:b/>
          <w:bCs/>
          <w:sz w:val="22"/>
          <w:u w:val="single"/>
        </w:rPr>
      </w:pPr>
      <w:r>
        <w:rPr>
          <w:b/>
          <w:bCs/>
          <w:sz w:val="22"/>
          <w:u w:val="single"/>
        </w:rPr>
      </w:r>
    </w:p>
    <w:p>
      <w:pPr>
        <w:pStyle w:val="Normal"/>
        <w:jc w:val="both"/>
        <w:rPr>
          <w:b/>
          <w:bCs/>
          <w:sz w:val="22"/>
          <w:u w:val="single"/>
        </w:rPr>
      </w:pPr>
      <w:r>
        <w:rPr>
          <w:b/>
          <w:bCs/>
          <w:sz w:val="22"/>
          <w:u w:val="single"/>
        </w:rPr>
        <w:t>ISDAS</w:t>
      </w:r>
    </w:p>
    <w:p>
      <w:pPr>
        <w:pStyle w:val="Normal"/>
        <w:jc w:val="both"/>
        <w:rPr>
          <w:b/>
          <w:bCs/>
          <w:sz w:val="22"/>
          <w:u w:val="single"/>
        </w:rPr>
      </w:pPr>
      <w:r>
        <w:rPr>
          <w:b/>
          <w:bCs/>
          <w:sz w:val="22"/>
          <w:u w:val="single"/>
        </w:rPr>
      </w:r>
    </w:p>
    <w:p>
      <w:pPr>
        <w:pStyle w:val="Normal"/>
        <w:jc w:val="both"/>
        <w:rPr/>
      </w:pPr>
      <w:r>
        <w:rPr>
          <w:sz w:val="22"/>
        </w:rPr>
        <w:t xml:space="preserve">● </w:t>
      </w:r>
      <w:r>
        <w:rPr>
          <w:b/>
          <w:bCs/>
          <w:sz w:val="22"/>
        </w:rPr>
        <w:t>BP Amoco Corporation</w:t>
      </w:r>
      <w:r>
        <w:rPr>
          <w:sz w:val="22"/>
        </w:rPr>
        <w:t xml:space="preserve"> trades under ISDA Master (450036, 467457,470749).  New York law applies.  </w:t>
      </w:r>
      <w:r>
        <w:rPr>
          <w:caps/>
          <w:sz w:val="22"/>
        </w:rPr>
        <w:t>Enron ISDA Standard applies</w:t>
      </w:r>
    </w:p>
    <w:p>
      <w:pPr>
        <w:pStyle w:val="Normal"/>
        <w:jc w:val="both"/>
        <w:rPr>
          <w:caps/>
          <w:sz w:val="22"/>
        </w:rPr>
      </w:pPr>
      <w:r>
        <w:rPr>
          <w:caps/>
          <w:sz w:val="22"/>
        </w:rPr>
      </w:r>
    </w:p>
    <w:p>
      <w:pPr>
        <w:pStyle w:val="Normal"/>
        <w:jc w:val="both"/>
        <w:rPr/>
      </w:pPr>
      <w:r>
        <w:rPr>
          <w:sz w:val="22"/>
        </w:rPr>
        <w:t xml:space="preserve">● </w:t>
      </w:r>
      <w:r>
        <w:rPr>
          <w:b/>
          <w:bCs/>
          <w:sz w:val="22"/>
        </w:rPr>
        <w:t>El Paso Merchant Energy-Gas, L.P.</w:t>
      </w:r>
      <w:r>
        <w:rPr>
          <w:sz w:val="22"/>
        </w:rPr>
        <w:t xml:space="preserve"> trades under ISDA Master (424882, 440495, 450021, 467450, 467451).  New York law applies.  </w:t>
      </w:r>
      <w:r>
        <w:rPr>
          <w:caps/>
          <w:sz w:val="22"/>
        </w:rPr>
        <w:t>Enron ISDA Standard applies</w:t>
      </w:r>
    </w:p>
    <w:p>
      <w:pPr>
        <w:pStyle w:val="Normal"/>
        <w:jc w:val="both"/>
        <w:rPr>
          <w:b/>
          <w:bCs/>
          <w:caps/>
          <w:sz w:val="22"/>
        </w:rPr>
      </w:pPr>
      <w:r>
        <w:rPr>
          <w:b/>
          <w:bCs/>
          <w:caps/>
          <w:sz w:val="22"/>
        </w:rPr>
      </w:r>
    </w:p>
    <w:p>
      <w:pPr>
        <w:pStyle w:val="Normal"/>
        <w:jc w:val="both"/>
        <w:rPr>
          <w:b/>
          <w:bCs/>
          <w:sz w:val="20"/>
        </w:rPr>
      </w:pPr>
      <w:r>
        <w:rPr>
          <w:b/>
          <w:bCs/>
          <w:sz w:val="20"/>
        </w:rPr>
        <w:t>(Note:  Confirmations 450021, 467451 and 467450 all reference an incorrect ISDA agreement date of April 20, 1995.  The April 20, 1995 agreement was terminated and replaced by an agreement effective as of December 1, 1999.  Please notify the counterparty by letter of the incorrect reference and state that the trades are subject to the December 1, 1999 ISDA.  Include an agreed to line on the letter, but do not reissue a revised confirm.)</w:t>
      </w:r>
    </w:p>
    <w:p>
      <w:pPr>
        <w:pStyle w:val="Normal"/>
        <w:jc w:val="both"/>
        <w:rPr>
          <w:b/>
          <w:bCs/>
          <w:caps/>
          <w:sz w:val="22"/>
        </w:rPr>
      </w:pPr>
      <w:r>
        <w:rPr>
          <w:b/>
          <w:bCs/>
          <w:caps/>
          <w:sz w:val="22"/>
        </w:rPr>
      </w:r>
    </w:p>
    <w:p>
      <w:pPr>
        <w:pStyle w:val="Normal"/>
        <w:jc w:val="both"/>
        <w:rPr/>
      </w:pPr>
      <w:r>
        <w:rPr>
          <w:sz w:val="22"/>
        </w:rPr>
        <w:t xml:space="preserve">● </w:t>
      </w:r>
      <w:r>
        <w:rPr>
          <w:b/>
          <w:bCs/>
          <w:sz w:val="22"/>
        </w:rPr>
        <w:t>Engage Energy Canada, L. P.</w:t>
      </w:r>
      <w:r>
        <w:rPr>
          <w:sz w:val="22"/>
        </w:rPr>
        <w:t xml:space="preserve"> trades under ISDA Master (443225, 463423, 467454, 467456).  Canadian law applies.  ENRON ISDA STANDARD APPLIES </w:t>
      </w:r>
    </w:p>
    <w:p>
      <w:pPr>
        <w:pStyle w:val="Normal"/>
        <w:jc w:val="both"/>
        <w:rPr>
          <w:sz w:val="22"/>
        </w:rPr>
      </w:pPr>
      <w:r>
        <w:rPr>
          <w:sz w:val="22"/>
        </w:rPr>
      </w:r>
    </w:p>
    <w:p>
      <w:pPr>
        <w:pStyle w:val="Normal"/>
        <w:jc w:val="both"/>
        <w:rPr>
          <w:b/>
          <w:bCs/>
          <w:caps/>
          <w:sz w:val="22"/>
          <w:u w:val="single"/>
        </w:rPr>
      </w:pPr>
      <w:r>
        <w:rPr>
          <w:b/>
          <w:bCs/>
          <w:caps/>
          <w:sz w:val="22"/>
          <w:u w:val="single"/>
        </w:rPr>
        <w:t>omnibus/gtc confirmations</w:t>
      </w:r>
    </w:p>
    <w:p>
      <w:pPr>
        <w:pStyle w:val="Normal"/>
        <w:jc w:val="both"/>
        <w:rPr>
          <w:b/>
          <w:bCs/>
          <w:caps/>
          <w:sz w:val="22"/>
          <w:u w:val="single"/>
        </w:rPr>
      </w:pPr>
      <w:r>
        <w:rPr>
          <w:b/>
          <w:bCs/>
          <w:caps/>
          <w:sz w:val="22"/>
          <w:u w:val="single"/>
        </w:rPr>
      </w:r>
    </w:p>
    <w:p>
      <w:pPr>
        <w:pStyle w:val="Normal"/>
        <w:jc w:val="both"/>
        <w:rPr/>
      </w:pPr>
      <w:r>
        <w:rPr>
          <w:sz w:val="22"/>
        </w:rPr>
        <w:t xml:space="preserve">● </w:t>
      </w:r>
      <w:r>
        <w:rPr>
          <w:b/>
          <w:bCs/>
          <w:sz w:val="22"/>
        </w:rPr>
        <w:t>PG&amp;E Energy Trading – Power, L.P.</w:t>
      </w:r>
      <w:r>
        <w:rPr>
          <w:sz w:val="22"/>
        </w:rPr>
        <w:t xml:space="preserve"> trades under Omnibus (450034, 469744).  Canadian law applies.  </w:t>
      </w:r>
      <w:r>
        <w:rPr>
          <w:caps/>
          <w:sz w:val="22"/>
        </w:rPr>
        <w:t>ENRON FINANCIAL OMNIBUS (gtc) STANDARD APPLIES</w:t>
      </w:r>
    </w:p>
    <w:p>
      <w:pPr>
        <w:pStyle w:val="Normal"/>
        <w:jc w:val="both"/>
        <w:rPr>
          <w:caps/>
          <w:sz w:val="22"/>
        </w:rPr>
      </w:pPr>
      <w:r>
        <w:rPr>
          <w:caps/>
          <w:sz w:val="22"/>
        </w:rPr>
      </w:r>
    </w:p>
    <w:p>
      <w:pPr>
        <w:pStyle w:val="Normal"/>
        <w:jc w:val="both"/>
        <w:rPr>
          <w:caps/>
          <w:sz w:val="22"/>
        </w:rPr>
      </w:pPr>
      <w:r>
        <w:rPr>
          <w:sz w:val="22"/>
        </w:rPr>
        <w:t xml:space="preserve">● </w:t>
      </w:r>
      <w:r>
        <w:rPr>
          <w:b/>
          <w:bCs/>
          <w:sz w:val="22"/>
        </w:rPr>
        <w:t>Encore Energy Solutions, L.P.</w:t>
      </w:r>
      <w:r>
        <w:rPr>
          <w:sz w:val="22"/>
        </w:rPr>
        <w:t xml:space="preserve"> trades under Omnibus (424884, 433174).  Canadian law applies.  ENRON FINANCIAL OMNIBUS (GTC) STANDARD APPLIES with arbitration, except as follows.  Material Change in Content includes commodity </w:t>
      </w:r>
      <w:r>
        <w:rPr>
          <w:i/>
          <w:iCs/>
          <w:sz w:val="22"/>
        </w:rPr>
        <w:t>and floating price</w:t>
      </w:r>
      <w:r>
        <w:rPr>
          <w:sz w:val="22"/>
        </w:rPr>
        <w:t xml:space="preserve"> (allowing for an additional counterargument regarding applicability of Market Disruption Event in respect of the floating price).    </w:t>
      </w:r>
    </w:p>
    <w:p>
      <w:pPr>
        <w:pStyle w:val="Normal"/>
        <w:jc w:val="both"/>
        <w:rPr>
          <w:caps/>
          <w:sz w:val="22"/>
        </w:rPr>
      </w:pPr>
      <w:r>
        <w:rPr>
          <w:caps/>
          <w:sz w:val="22"/>
        </w:rPr>
      </w:r>
    </w:p>
    <w:p>
      <w:pPr>
        <w:pStyle w:val="Normal"/>
        <w:jc w:val="both"/>
        <w:rPr/>
      </w:pPr>
      <w:r>
        <w:rPr>
          <w:sz w:val="22"/>
        </w:rPr>
        <w:t xml:space="preserve">● </w:t>
      </w:r>
      <w:r>
        <w:rPr>
          <w:b/>
          <w:bCs/>
          <w:sz w:val="22"/>
        </w:rPr>
        <w:t>KeySpan Energy Canada Partnership</w:t>
      </w:r>
      <w:r>
        <w:rPr>
          <w:sz w:val="22"/>
        </w:rPr>
        <w:t xml:space="preserve"> trade under Omnibus (467418).  Canadian law applies.</w:t>
      </w:r>
    </w:p>
    <w:p>
      <w:pPr>
        <w:pStyle w:val="Normal"/>
        <w:jc w:val="both"/>
        <w:rPr>
          <w:caps/>
          <w:sz w:val="22"/>
        </w:rPr>
      </w:pPr>
      <w:r>
        <w:rPr>
          <w:caps/>
          <w:sz w:val="22"/>
        </w:rPr>
        <w:t xml:space="preserve"> </w:t>
      </w:r>
      <w:r>
        <w:rPr>
          <w:caps/>
          <w:sz w:val="22"/>
        </w:rPr>
        <w:t>ENRON FINANCIAL OMNIBUS (gtc) STANDARD APPLIES</w:t>
      </w:r>
    </w:p>
    <w:p>
      <w:pPr>
        <w:pStyle w:val="Normal"/>
        <w:jc w:val="both"/>
        <w:rPr>
          <w:caps/>
          <w:sz w:val="22"/>
        </w:rPr>
      </w:pPr>
      <w:r>
        <w:rPr>
          <w:caps/>
          <w:sz w:val="22"/>
        </w:rPr>
      </w:r>
    </w:p>
    <w:p>
      <w:pPr>
        <w:pStyle w:val="Normal"/>
        <w:jc w:val="both"/>
        <w:rPr>
          <w:b/>
          <w:bCs/>
          <w:caps/>
          <w:sz w:val="22"/>
          <w:u w:val="single"/>
        </w:rPr>
      </w:pPr>
      <w:r>
        <w:rPr>
          <w:b/>
          <w:bCs/>
          <w:caps/>
          <w:sz w:val="22"/>
          <w:u w:val="single"/>
        </w:rPr>
        <w:t>COUNTERPARTY PAPER</w:t>
      </w:r>
    </w:p>
    <w:p>
      <w:pPr>
        <w:pStyle w:val="Normal"/>
        <w:jc w:val="both"/>
        <w:rPr>
          <w:b/>
          <w:bCs/>
          <w:caps/>
          <w:sz w:val="22"/>
          <w:u w:val="single"/>
        </w:rPr>
      </w:pPr>
      <w:r>
        <w:rPr>
          <w:b/>
          <w:bCs/>
          <w:caps/>
          <w:sz w:val="22"/>
          <w:u w:val="single"/>
        </w:rPr>
      </w:r>
    </w:p>
    <w:p>
      <w:pPr>
        <w:pStyle w:val="Normal"/>
        <w:jc w:val="both"/>
        <w:rPr/>
      </w:pPr>
      <w:r>
        <w:rPr>
          <w:sz w:val="22"/>
        </w:rPr>
        <w:t xml:space="preserve">● </w:t>
      </w:r>
      <w:r>
        <w:rPr>
          <w:b/>
          <w:bCs/>
          <w:sz w:val="22"/>
        </w:rPr>
        <w:t>Powerex Corp.</w:t>
      </w:r>
      <w:r>
        <w:rPr>
          <w:sz w:val="22"/>
        </w:rPr>
        <w:t xml:space="preserve"> trades under Contract for Differences (424881, 424884, 438500, 468385).  Canadian law to apply.  The contract paper is currently in process of comment and negotiation with the Enron intention of tracking the </w:t>
      </w:r>
      <w:r>
        <w:rPr>
          <w:caps/>
          <w:sz w:val="22"/>
        </w:rPr>
        <w:t xml:space="preserve">Enron FINANCIAL OmNIBUS (gtc) Standard </w:t>
      </w:r>
      <w:r>
        <w:rPr>
          <w:sz w:val="22"/>
        </w:rPr>
        <w:t xml:space="preserve">with respect to the matters herein discussed. </w:t>
      </w:r>
      <w:r>
        <w:br w:type="page"/>
      </w:r>
    </w:p>
    <w:p>
      <w:pPr>
        <w:pStyle w:val="Normal"/>
        <w:jc w:val="both"/>
        <w:rPr>
          <w:b/>
          <w:bCs/>
          <w:sz w:val="22"/>
          <w:u w:val="single"/>
        </w:rPr>
      </w:pPr>
      <w:r>
        <w:rPr>
          <w:b/>
          <w:bCs/>
          <w:sz w:val="22"/>
          <w:u w:val="single"/>
        </w:rPr>
        <w:t>PART 3.  CONCLUSION</w:t>
      </w:r>
    </w:p>
    <w:p>
      <w:pPr>
        <w:pStyle w:val="Normal"/>
        <w:jc w:val="both"/>
        <w:rPr>
          <w:b/>
          <w:bCs/>
          <w:sz w:val="22"/>
          <w:u w:val="single"/>
        </w:rPr>
      </w:pPr>
      <w:r>
        <w:rPr>
          <w:b/>
          <w:bCs/>
          <w:sz w:val="22"/>
          <w:u w:val="single"/>
        </w:rPr>
      </w:r>
    </w:p>
    <w:p>
      <w:pPr>
        <w:pStyle w:val="Normal"/>
        <w:jc w:val="both"/>
        <w:rPr>
          <w:sz w:val="22"/>
        </w:rPr>
      </w:pPr>
      <w:r>
        <w:rPr>
          <w:sz w:val="22"/>
        </w:rPr>
        <w:t xml:space="preserve">Claims that the government actions causing alterations to Alberta Pool rules are Market Disruption Events may be argued under our standard provisions.  The counterargument may be made on the basis that the actions (at least those currently being considered) do not meet the criteria of a Market Disruption Event because (i) the Alberta Pool price will continue to be determined on the basis of power transactions traded in Alberta and (ii) extrinsic circumstances, such as plants selling below cost power or BC power being excluded, do not alter the formula or method for determining, or the content of, the Alberta Pool price.  However, if such actions are determined to be a Market Disruption Event, then Disruption Fallbacks will apply.  The Disruption Fallbacks applied to the current circumstances ultimately rely upon dealer quotations or the parties' negotiated arrangement, and failing such, arbitration or Canadian court resolution for pricing and methodology for pricing.  Our contract papers do not provide for a no fault (share gains and losses) contract termination under these circumstances.  The primary issue is whether after a Market Disruption Event there exists a viable mechanism to establish a pool price reflecting the parties' original intent to the contract.  Can a price be constructed to reflect conditions prior to market disruption?  Contract defenses (depending upon the applicable law) may include impossibility of performance by supervening unforeseeable events and impracticability of performance, each of which are grounded in the concept that the price cannot be reconstructed to meet the parties' intent.  Each of these defenses would result in termination of the contract, without payments to share gains or losses.     </w:t>
      </w:r>
    </w:p>
    <w:p>
      <w:pPr>
        <w:pStyle w:val="Normal"/>
        <w:jc w:val="both"/>
        <w:rPr>
          <w:sz w:val="22"/>
        </w:rPr>
      </w:pPr>
      <w:r>
        <w:rPr>
          <w:sz w:val="22"/>
        </w:rPr>
      </w:r>
    </w:p>
    <w:p>
      <w:pPr>
        <w:pStyle w:val="Normal"/>
        <w:jc w:val="both"/>
        <w:rPr>
          <w:b/>
          <w:bCs/>
          <w:sz w:val="22"/>
        </w:rPr>
      </w:pPr>
      <w:r>
        <w:rPr>
          <w:b/>
          <w:bCs/>
          <w:sz w:val="22"/>
        </w:rPr>
        <w:t>Please follow up on counterparty execution of all confirms.  Numerous copies provided for review are unsigned by counterparty.</w:t>
      </w:r>
    </w:p>
    <w:p>
      <w:pPr>
        <w:pStyle w:val="Normal"/>
        <w:jc w:val="both"/>
        <w:rPr>
          <w:b/>
          <w:bCs/>
          <w:sz w:val="22"/>
        </w:rPr>
      </w:pPr>
      <w:r>
        <w:rPr>
          <w:b/>
          <w:bCs/>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/mnt/main-storage/datasets/enron-docs/doc/Canada_Fin_Power_Review_Schedule.doc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2000-12-04T16:57:00Z</dcterms:created>
  <dc:creator>mcook</dc:creator>
  <dc:description/>
  <dc:language>en-CA</dc:language>
  <cp:lastModifiedBy>mcook</cp:lastModifiedBy>
  <cp:lastPrinted>2000-12-05T10:22:00Z</cp:lastPrinted>
  <dcterms:modified xsi:type="dcterms:W3CDTF">2000-12-05T13:53:00Z</dcterms:modified>
  <cp:revision>19</cp:revision>
  <dc:subject/>
  <dc:title/>
</cp:coreProperties>
</file>