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Transaction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Transaction, and (ii) it is a “Qualified Party” within the meaning of paragraph 9.1 of the Alberta Securities Commission Order Doc. #394043 and Paragraph 1.1 of the draft British Columbia Securities Commission Blanket Order BOR#91-501,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Transaction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w:t>
      </w:r>
      <w:r>
        <w:rPr>
          <w:rFonts w:cs="Arial Narrow" w:ascii="Arial Narrow" w:hAnsi="Arial Narrow"/>
          <w:b/>
          <w:sz w:val="18"/>
        </w:rPr>
        <w:t xml:space="preserve">AND GENUINE PRE-ESTIMATE AND </w:t>
      </w:r>
      <w:r>
        <w:rPr>
          <w:rFonts w:cs="Arial Narrow" w:ascii="Arial Narrow" w:hAnsi="Arial Narrow"/>
          <w:b/>
          <w:caps/>
          <w:sz w:val="18"/>
        </w:rPr>
        <w:t>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Canada Online Financial GTC (Credit)</w:t>
    </w:r>
  </w:p>
  <w:p>
    <w:pPr>
      <w:pStyle w:val="Header"/>
      <w:jc w:val="end"/>
      <w:rPr>
        <w:rFonts w:ascii="Arial Narrow" w:hAnsi="Arial Narrow" w:cs="Arial Narrow"/>
        <w:b/>
        <w:sz w:val="10"/>
        <w:u w:val="single"/>
      </w:rPr>
    </w:pPr>
    <w:r>
      <w:rPr>
        <w:rFonts w:cs="Arial Narrow" w:ascii="Arial Narrow" w:hAnsi="Arial Narrow"/>
        <w:b/>
        <w:sz w:val="10"/>
        <w:u w:val="single"/>
      </w:rPr>
      <w:t>10/14/99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1999-10-12T18:41:00Z</dcterms:created>
  <dc:creator>ECT</dc:creator>
  <dc:description/>
  <dc:language>en-CA</dc:language>
  <cp:lastModifiedBy>tjones</cp:lastModifiedBy>
  <cp:lastPrinted>1999-10-14T14:02:00Z</cp:lastPrinted>
  <dcterms:modified xsi:type="dcterms:W3CDTF">1999-10-14T17:14:00Z</dcterms:modified>
  <cp:revision>12</cp:revision>
  <dc:subject/>
  <dc:title>Draft of 6.19.95</dc:title>
</cp:coreProperties>
</file>