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relevant master agreement is executed between you (“Counterparty”) and Enron Canada Corp. (“Enron”), this GTC will set forth the general terms and conditions governing all Derivative Transactions between us except as otherwise specified in a Derivative Transaction.  All such Transactions shall constitute a single, integrated agreement between the parties, it being acknowledged that the parties are relying on the fact that all such Transactions will form a single agreement and that the parties would not otherwise enter into any Transactions.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Enron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and (iii) unless it has notified the other party in writing to the contrary, it is a resident of Canada for purposes of the </w:t>
      </w:r>
      <w:r>
        <w:rPr>
          <w:rFonts w:cs="Arial Narrow" w:ascii="Arial Narrow" w:hAnsi="Arial Narrow"/>
          <w:i/>
          <w:sz w:val="18"/>
        </w:rPr>
        <w:t>Income Tax Act</w:t>
      </w:r>
      <w:r>
        <w:rPr>
          <w:rFonts w:cs="Arial Narrow" w:ascii="Arial Narrow" w:hAnsi="Arial Narrow"/>
          <w:sz w:val="18"/>
        </w:rPr>
        <w:t xml:space="preserve"> (Canada); and (b) </w:t>
      </w:r>
      <w:r>
        <w:rPr>
          <w:rFonts w:cs="Arial Narrow" w:ascii="Arial Narrow" w:hAnsi="Arial Narrow"/>
          <w:sz w:val="18"/>
          <w:u w:val="single"/>
        </w:rPr>
        <w:t>Securities Act Representations</w:t>
      </w:r>
      <w:r>
        <w:rPr>
          <w:rFonts w:cs="Arial Narrow" w:ascii="Arial Narrow" w:hAnsi="Arial Narrow"/>
          <w:sz w:val="18"/>
        </w:rPr>
        <w:t xml:space="preserve">  (i) this Transaction shall constitute an “OTC Derivative” as defined in the </w:t>
      </w:r>
      <w:r>
        <w:rPr>
          <w:rFonts w:cs="Arial Narrow" w:ascii="Arial Narrow" w:hAnsi="Arial Narrow"/>
          <w:i/>
          <w:sz w:val="18"/>
        </w:rPr>
        <w:t>Securities Act</w:t>
      </w:r>
      <w:r>
        <w:rPr>
          <w:rFonts w:cs="Arial Narrow" w:ascii="Arial Narrow" w:hAnsi="Arial Narrow"/>
          <w:sz w:val="18"/>
        </w:rPr>
        <w:t xml:space="preserve"> (Alberta) and the </w:t>
      </w:r>
      <w:r>
        <w:rPr>
          <w:rFonts w:cs="Arial Narrow" w:ascii="Arial Narrow" w:hAnsi="Arial Narrow"/>
          <w:i/>
          <w:sz w:val="18"/>
        </w:rPr>
        <w:t>Securities Act</w:t>
      </w:r>
      <w:r>
        <w:rPr>
          <w:rFonts w:cs="Arial Narrow" w:ascii="Arial Narrow" w:hAnsi="Arial Narrow"/>
          <w:sz w:val="18"/>
        </w:rPr>
        <w:t xml:space="preserve"> (British Columbia) which have application to this Transaction, and (ii) it is a “Qualified Party” within the meaning of paragraph 9.1 of the Alberta Securities Commission Order Doc. #394043 and Paragraph 1.1 of the draft British Columbia Securities Commission Blanket Order BOR#91-501, as in effect of the date hereof; and (c) </w:t>
      </w:r>
      <w:r>
        <w:rPr>
          <w:rFonts w:cs="Arial Narrow" w:ascii="Arial Narrow" w:hAnsi="Arial Narrow"/>
          <w:sz w:val="18"/>
          <w:u w:val="single"/>
        </w:rPr>
        <w:t>Line of Business</w:t>
      </w:r>
      <w:r>
        <w:rPr>
          <w:rFonts w:cs="Arial Narrow" w:ascii="Arial Narrow" w:hAnsi="Arial Narrow"/>
          <w:sz w:val="18"/>
        </w:rPr>
        <w:t xml:space="preserve">  it is entering into this Transaction in conjunction with its line of business (including financial intermediation services) or the financing of its business;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sz w:val="18"/>
          <w:u w:val="single"/>
        </w:rPr>
        <w:t xml:space="preserve">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Transaction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All payments under this Transaction shall be made without any deduction or withholding for or on account of any Tax unless such deduction or withholding is required by any applicable law, as modified by the practice of any relevant governmental revenue authority, then in effect.  If a party is so required to deduct or withhold, then that party ("X") shall (a) promptly notify the other party ("Y") of such requirement, (b) pay to the relevant authorities the full amount required to be deducted or withheld (including the full amount required to be deducted or withheld from any additional amount paid by X or Y under this paragraph) promptly upon the earlier of determining that such deduction or withholding is required or receiving notice that such amount has been assessed against Y, (c) promptly forward to Y an official receipt (or a certified copy), or other documentation reasonably acceptable to Y, evidencing such payment to such authorities, and (d) if such Tax is an Indemnifiable Tax, pay to Y, in addition to the payment to which Y is otherwise entitled under this Transaction,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the failure of Y, upon reasonable demand by X, to provide any form, certificate or document that would allow X to make a payment to Y under this Transaction at a reduced rate of, or without any, withholding for or on account of any Tax.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three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Transaction or (z) the resulting entity’s creditworthiness is materially weaker than that of the Defaulting Party;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Derivative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Derivative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Derivative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w:t>
      </w:r>
      <w:r>
        <w:rPr>
          <w:rFonts w:cs="Arial Narrow" w:ascii="Arial Narrow" w:hAnsi="Arial Narrow"/>
          <w:b/>
          <w:sz w:val="18"/>
        </w:rPr>
        <w:t xml:space="preserve">AND GENUINE PRE-ESTIMATE AND </w:t>
      </w:r>
      <w:r>
        <w:rPr>
          <w:rFonts w:cs="Arial Narrow" w:ascii="Arial Narrow" w:hAnsi="Arial Narrow"/>
          <w:b/>
          <w:caps/>
          <w:sz w:val="18"/>
        </w:rPr>
        <w:t>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Transaction or otherwise any amounts payable by the Defaulting Party to the non-defaulting party or any of its Affiliates under this Transaction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all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Transaction and all other documents relating to this Transaction, and any information made available by one party to the other party with respect to this Transaction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Transaction, or the application thereof to any party or circumstance, shall be held to be invalid or unenforceable (in whole or in part) for any reason, the remaining terms, provisions, covenants, and conditions hereof shall continue in full force and effect as if this Transaction had been executed with the invalid or unenforceable portion eliminated, so long as this Transaction as so modified continues to express, without material change, the original intentions of the parties as to the subject matter of this Transaction and the deletion of such portion of this Transaction will not substantially impair the respective benefits or expectations of the parties to this Transaction;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The parties hereby have requested that this Transaction be drafted in the English language and that all present and future confirmations be drafted in the English language.  Les parties aux présentes ont requis que cette convention ainsi que toutes les présentes et futures confirmations soient rédigées en langue anglaise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by taking the average of two or more dealer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GTC, are used with the meanings provided on the Website or in any written confirmation.  As used in this GTC:</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or Houston, Texas.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Price Payor</w:t>
      </w:r>
      <w:r>
        <w:rPr>
          <w:rFonts w:cs="Arial Narrow" w:ascii="Arial Narrow" w:hAnsi="Arial Narrow"/>
          <w:sz w:val="18"/>
        </w:rPr>
        <w:t>” means (a) Enron if the terms set forth on the Website relevant to the Transaction provide that Counterparty is ‘Selling’ and (b) Counterparty if the terms set forth on the Website relevant to the Transaction provide that Counterparty is ‘Buying’.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Price Payor</w:t>
      </w:r>
      <w:r>
        <w:rPr>
          <w:rFonts w:cs="Arial Narrow" w:ascii="Arial Narrow" w:hAnsi="Arial Narrow"/>
          <w:sz w:val="18"/>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Indemnifiable Tax</w:t>
      </w:r>
      <w:r>
        <w:rPr>
          <w:rFonts w:cs="Arial Narrow" w:ascii="Arial Narrow" w:hAnsi="Arial Narrow"/>
          <w:sz w:val="18"/>
        </w:rPr>
        <w:t>" means any Tax other than a Tax that would not be imposed in respect of a payment under this Transaction but for a present or former connection between the jurisdiction of the government or taxation authority imposing such Tax and the recipient of such payment or a person related to such recipient (including, without limitation, a connection arising from such recipient or related person being or having been a citizen or resident of such jurisdiction, or being or having been organized, present or engaged in a trade or business in such jurisdiction, or having or having had a permanent establishment or fixed place of business in such jurisdiction, but excluding a connection arising solely from such recipient or related person having executed, delivered, performed its obligations or received a payment under, or enforced, this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Transaction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Tax</w:t>
      </w:r>
      <w:r>
        <w:rPr>
          <w:rFonts w:cs="Arial Narrow" w:ascii="Arial Narrow" w:hAnsi="Arial Narrow"/>
          <w:sz w:val="18"/>
        </w:rPr>
        <w:t>" means any present or future tax, levy, impost, duty, charge, assessment or fee of any nature (including interest, penalties and additions thereto) that is imposed by any government or other taxing authority in respect of any payment under this Transaction other than a stamp, registration, documentation or similar tax.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this GTC taken together with the terms set forth on the Website submitted by Counterparty and accepted by Enron.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Website</w:t>
      </w:r>
      <w:r>
        <w:rPr>
          <w:rFonts w:cs="Arial Narrow" w:ascii="Arial Narrow" w:hAnsi="Arial Narrow"/>
          <w:sz w:val="18"/>
        </w:rPr>
        <w:t>” means the website referencing this GTC.</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type w:val="nextPage"/>
          <w:pgSz w:w="12240" w:h="15840"/>
          <w:pgMar w:left="936" w:right="936" w:gutter="0" w:header="576" w:top="632" w:footer="0"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4"/>
      <w:headerReference w:type="first" r:id="rId5"/>
      <w:footerReference w:type="default" r:id="rId6"/>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Canada Online Financial GTC</w:t>
    </w:r>
  </w:p>
  <w:p>
    <w:pPr>
      <w:pStyle w:val="Header"/>
      <w:jc w:val="end"/>
      <w:rPr>
        <w:rFonts w:ascii="Arial Narrow" w:hAnsi="Arial Narrow" w:cs="Arial Narrow"/>
        <w:b/>
        <w:sz w:val="10"/>
        <w:u w:val="single"/>
      </w:rPr>
    </w:pPr>
    <w:r>
      <w:rPr>
        <w:rFonts w:cs="Arial Narrow" w:ascii="Arial Narrow" w:hAnsi="Arial Narrow"/>
        <w:b/>
        <w:sz w:val="10"/>
        <w:u w:val="single"/>
      </w:rPr>
      <w:t>10/14/99</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ENRON CANADA CORP.</w:t>
    </w:r>
  </w:p>
  <w:p>
    <w:pPr>
      <w:pStyle w:val="Header"/>
      <w:jc w:val="center"/>
      <w:rPr>
        <w:rFonts w:ascii="Arial Narrow" w:hAnsi="Arial Narrow" w:cs="Arial Narrow"/>
        <w:b/>
        <w:sz w:val="20"/>
      </w:rPr>
    </w:pPr>
    <w:r>
      <w:rPr>
        <w:rFonts w:cs="Arial Narrow" w:ascii="Arial Narrow" w:hAnsi="Arial Narrow"/>
        <w:b/>
        <w:sz w:val="20"/>
      </w:rPr>
      <w:t>GENERAL TERMS AND CONDITIONS (“GTC”)</w:t>
    </w:r>
  </w:p>
  <w:p>
    <w:pPr>
      <w:pStyle w:val="Header"/>
      <w:jc w:val="center"/>
      <w:rPr>
        <w:rFonts w:ascii="Arial Narrow" w:hAnsi="Arial Narrow" w:cs="Arial Narrow"/>
        <w:b/>
        <w:sz w:val="20"/>
      </w:rPr>
    </w:pPr>
    <w:r>
      <w:rPr>
        <w:rFonts w:cs="Arial Narrow" w:ascii="Arial Narrow" w:hAnsi="Arial Narrow"/>
        <w:b/>
        <w:sz w:val="20"/>
      </w:rPr>
      <w:t>FINANCIAL</w:t>
    </w:r>
  </w:p>
  <w:p>
    <w:pPr>
      <w:pStyle w:val="Header"/>
      <w:jc w:val="cent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1999-10-11T12:53:00Z</dcterms:created>
  <dc:creator>ECT</dc:creator>
  <dc:description/>
  <dc:language>en-CA</dc:language>
  <cp:lastModifiedBy>tjones</cp:lastModifiedBy>
  <cp:lastPrinted>1999-10-11T14:07:00Z</cp:lastPrinted>
  <dcterms:modified xsi:type="dcterms:W3CDTF">1999-10-14T17:14:00Z</dcterms:modified>
  <cp:revision>23</cp:revision>
  <dc:subject/>
  <dc:title>Draft of 6.19.95</dc:title>
</cp:coreProperties>
</file>