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Until a relevant master agreement is executed between you (“Counterparty”) and Enron Canada Corp. (“Enron”),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Enron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it is not a non-resident of Canada for purposes of the </w:t>
      </w:r>
      <w:r>
        <w:rPr>
          <w:rFonts w:cs="Arial Narrow" w:ascii="Arial Narrow" w:hAnsi="Arial Narrow"/>
          <w:i/>
          <w:sz w:val="18"/>
        </w:rPr>
        <w:t>Income Tax Act</w:t>
      </w:r>
      <w:r>
        <w:rPr>
          <w:rFonts w:cs="Arial Narrow" w:ascii="Arial Narrow" w:hAnsi="Arial Narrow"/>
          <w:sz w:val="18"/>
        </w:rPr>
        <w:t xml:space="preserve"> (Canada); and (b) </w:t>
      </w:r>
      <w:r>
        <w:rPr>
          <w:rFonts w:cs="Arial Narrow" w:ascii="Arial Narrow" w:hAnsi="Arial Narrow"/>
          <w:sz w:val="18"/>
          <w:u w:val="single"/>
        </w:rPr>
        <w:t>Securities Act Representations</w:t>
      </w:r>
      <w:r>
        <w:rPr>
          <w:rFonts w:cs="Arial Narrow" w:ascii="Arial Narrow" w:hAnsi="Arial Narrow"/>
          <w:sz w:val="18"/>
        </w:rPr>
        <w:t xml:space="preserve">  (i) this Transaction shall constitute an “OTC Derivative” as defined in the </w:t>
      </w:r>
      <w:r>
        <w:rPr>
          <w:rFonts w:cs="Arial Narrow" w:ascii="Arial Narrow" w:hAnsi="Arial Narrow"/>
          <w:i/>
          <w:sz w:val="18"/>
        </w:rPr>
        <w:t>Securities Act</w:t>
      </w:r>
      <w:r>
        <w:rPr>
          <w:rFonts w:cs="Arial Narrow" w:ascii="Arial Narrow" w:hAnsi="Arial Narrow"/>
          <w:sz w:val="18"/>
        </w:rPr>
        <w:t xml:space="preserve"> (Alberta) and the </w:t>
      </w:r>
      <w:r>
        <w:rPr>
          <w:rFonts w:cs="Arial Narrow" w:ascii="Arial Narrow" w:hAnsi="Arial Narrow"/>
          <w:i/>
          <w:sz w:val="18"/>
        </w:rPr>
        <w:t>Securities Act</w:t>
      </w:r>
      <w:r>
        <w:rPr>
          <w:rFonts w:cs="Arial Narrow" w:ascii="Arial Narrow" w:hAnsi="Arial Narrow"/>
          <w:sz w:val="18"/>
        </w:rPr>
        <w:t xml:space="preserve"> (British Columbia) which have application to this Transaction, and (ii) it is a “Qualified Party” within the meaning of paragraph 9.1 of the Alberta Securities Commission Order Doc. #394043 and Paragraph 1.1 of the draft British Columbia Securities Commission Blanket Order BOR#91-501, as in effect of the date hereof; and (c) </w:t>
      </w:r>
      <w:r>
        <w:rPr>
          <w:rFonts w:cs="Arial Narrow" w:ascii="Arial Narrow" w:hAnsi="Arial Narrow"/>
          <w:sz w:val="18"/>
          <w:u w:val="single"/>
        </w:rPr>
        <w:t>Line of Business</w:t>
      </w:r>
      <w:r>
        <w:rPr>
          <w:rFonts w:cs="Arial Narrow" w:ascii="Arial Narrow" w:hAnsi="Arial Narrow"/>
          <w:sz w:val="18"/>
        </w:rPr>
        <w:t xml:space="preserve">  it is entering into this Transaction in conjunction with its line of business (including financial intermediation services) or the financing of its business; and (d) </w:t>
      </w:r>
      <w:r>
        <w:rPr>
          <w:rFonts w:cs="Arial Narrow" w:ascii="Arial Narrow" w:hAnsi="Arial Narrow"/>
          <w:sz w:val="18"/>
          <w:u w:val="single"/>
        </w:rPr>
        <w:t>No Reliance</w:t>
      </w:r>
      <w:r>
        <w:rPr>
          <w:rFonts w:cs="Arial Narrow" w:ascii="Arial Narrow" w:hAnsi="Arial Narrow"/>
          <w:sz w:val="18"/>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sz w:val="18"/>
          <w:u w:val="single"/>
        </w:rPr>
        <w:t xml:space="preserve">TOTAL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Derivative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Derivative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w:t>
      </w:r>
      <w:r>
        <w:rPr>
          <w:rFonts w:cs="Arial Narrow" w:ascii="Arial Narrow" w:hAnsi="Arial Narrow"/>
          <w:b/>
          <w:sz w:val="18"/>
        </w:rPr>
        <w:t xml:space="preserve">AND GENUINE PRE-ESTIMATE AND </w:t>
      </w:r>
      <w:r>
        <w:rPr>
          <w:rFonts w:cs="Arial Narrow" w:ascii="Arial Narrow" w:hAnsi="Arial Narrow"/>
          <w:b/>
          <w:caps/>
          <w:sz w:val="18"/>
        </w:rPr>
        <w:t>approximation of the amount of such damages, and not a penalty.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4 or the governing law or arbitration provisions of Section 6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The parties hereby have requested that this Transaction be drafted in the English language and that all present and future confirmations be drafted in the English language.  Les parties aux présentes ont requis que cette convention ainsi que toutes les présentes et futures confirmations soient rédigées en langue anglaise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GTC, are used with the meanings provided on the Website or in any written confirmation.  As used in this GTC:</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or Houston, Texas.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Transaction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Price Payor</w:t>
      </w:r>
      <w:r>
        <w:rPr>
          <w:rFonts w:cs="Arial Narrow" w:ascii="Arial Narrow" w:hAnsi="Arial Narrow"/>
          <w:sz w:val="18"/>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Price Payor</w:t>
      </w:r>
      <w:r>
        <w:rPr>
          <w:rFonts w:cs="Arial Narrow" w:ascii="Arial Narrow" w:hAnsi="Arial Narrow"/>
          <w:sz w:val="18"/>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Transaction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i/>
          <w:sz w:val="18"/>
        </w:rPr>
        <w:t>"</w:t>
      </w:r>
      <w:r>
        <w:rPr>
          <w:rFonts w:cs="Arial Narrow" w:ascii="Arial Narrow" w:hAnsi="Arial Narrow"/>
          <w:sz w:val="18"/>
        </w:rPr>
        <w:t xml:space="preserve"> means this GTC taken together with the terms set forth on the Website submitted by Counterparty and accepted by Enron.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Website</w:t>
      </w:r>
      <w:r>
        <w:rPr>
          <w:rFonts w:cs="Arial Narrow" w:ascii="Arial Narrow" w:hAnsi="Arial Narrow"/>
          <w:sz w:val="18"/>
        </w:rPr>
        <w:t>” means the website referencing this GTC.</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footerReference w:type="default" r:id="rId4"/>
          <w:footerReference w:type="first" r:id="rId5"/>
          <w:type w:val="nextPage"/>
          <w:pgSz w:w="12240" w:h="15840"/>
          <w:pgMar w:left="936" w:right="936" w:gutter="0" w:header="576" w:top="632" w:footer="432"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rFonts w:ascii="Arial Narrow" w:hAnsi="Arial Narrow" w:cs="Arial Narrow"/>
          <w:sz w:val="18"/>
        </w:rPr>
      </w:pPr>
      <w:r>
        <w:rPr>
          <w:rFonts w:cs="Arial Narrow" w:ascii="Arial Narrow" w:hAnsi="Arial Narrow"/>
          <w:sz w:val="18"/>
        </w:rPr>
      </w:r>
    </w:p>
    <w:sectPr>
      <w:headerReference w:type="default" r:id="rId6"/>
      <w:headerReference w:type="first" r:id="rId7"/>
      <w:footerReference w:type="default" r:id="rId8"/>
      <w:footerReference w:type="first" r:id="rId9"/>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General Terms and Conditions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General Terms and Conditions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Canada Online Financial GTC</w:t>
    </w:r>
  </w:p>
  <w:p>
    <w:pPr>
      <w:pStyle w:val="Header"/>
      <w:jc w:val="end"/>
      <w:rPr>
        <w:rFonts w:ascii="Arial Narrow" w:hAnsi="Arial Narrow" w:cs="Arial Narrow"/>
        <w:b/>
        <w:sz w:val="10"/>
        <w:u w:val="single"/>
      </w:rPr>
    </w:pPr>
    <w:r>
      <w:rPr>
        <w:rFonts w:cs="Arial Narrow" w:ascii="Arial Narrow" w:hAnsi="Arial Narrow"/>
        <w:b/>
        <w:sz w:val="10"/>
        <w:u w:val="single"/>
      </w:rPr>
      <w:t>10/11/99</w:t>
    </w:r>
  </w:p>
  <w:p>
    <w:pPr>
      <w:pStyle w:val="Header"/>
      <w:jc w:val="center"/>
      <w:rPr>
        <w:rFonts w:ascii="Arial Narrow" w:hAnsi="Arial Narrow" w:cs="Arial Narrow"/>
        <w:b/>
        <w:sz w:val="20"/>
        <w:u w:val="single"/>
      </w:rPr>
    </w:pPr>
    <w:r>
      <w:rPr>
        <w:rFonts w:cs="Arial Narrow" w:ascii="Arial Narrow" w:hAnsi="Arial Narrow"/>
        <w:b/>
        <w:sz w:val="20"/>
        <w:u w:val="single"/>
      </w:rPr>
    </w:r>
  </w:p>
  <w:p>
    <w:pPr>
      <w:pStyle w:val="Header"/>
      <w:jc w:val="center"/>
      <w:rPr>
        <w:rFonts w:ascii="Arial Narrow" w:hAnsi="Arial Narrow" w:cs="Arial Narrow"/>
        <w:b/>
        <w:sz w:val="20"/>
      </w:rPr>
    </w:pPr>
    <w:r>
      <w:rPr>
        <w:rFonts w:cs="Arial Narrow" w:ascii="Arial Narrow" w:hAnsi="Arial Narrow"/>
        <w:b/>
        <w:sz w:val="20"/>
      </w:rPr>
      <w:t>ENRON CANADA CORP.</w:t>
    </w:r>
  </w:p>
  <w:p>
    <w:pPr>
      <w:pStyle w:val="Header"/>
      <w:jc w:val="center"/>
      <w:rPr>
        <w:rFonts w:ascii="Arial Narrow" w:hAnsi="Arial Narrow" w:cs="Arial Narrow"/>
        <w:b/>
        <w:sz w:val="20"/>
      </w:rPr>
    </w:pPr>
    <w:r>
      <w:rPr>
        <w:rFonts w:cs="Arial Narrow" w:ascii="Arial Narrow" w:hAnsi="Arial Narrow"/>
        <w:b/>
        <w:sz w:val="20"/>
      </w:rPr>
      <w:t>GENERAL TERMS AND CONDITIONS (“GTC”)</w:t>
    </w:r>
  </w:p>
  <w:p>
    <w:pPr>
      <w:pStyle w:val="Header"/>
      <w:jc w:val="center"/>
      <w:rPr>
        <w:rFonts w:ascii="Arial Narrow" w:hAnsi="Arial Narrow" w:cs="Arial Narrow"/>
        <w:b/>
        <w:sz w:val="20"/>
      </w:rPr>
    </w:pPr>
    <w:r>
      <w:rPr>
        <w:rFonts w:cs="Arial Narrow" w:ascii="Arial Narrow" w:hAnsi="Arial Narrow"/>
        <w:b/>
        <w:sz w:val="20"/>
      </w:rPr>
      <w:t>FINANCIAL</w:t>
    </w:r>
  </w:p>
  <w:p>
    <w:pPr>
      <w:pStyle w:val="Header"/>
      <w:jc w:val="cent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Times New Roman" w:hAnsi="Tms Rmn;Times New Roman" w:cs="Tms Rmn;Times New Roma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1999-10-11T12:53:00Z</dcterms:created>
  <dc:creator>ECT</dc:creator>
  <dc:description/>
  <dc:language>en-CA</dc:language>
  <cp:lastModifiedBy>tjones</cp:lastModifiedBy>
  <cp:lastPrinted>1999-10-11T14:07:00Z</cp:lastPrinted>
  <dcterms:modified xsi:type="dcterms:W3CDTF">1999-10-11T16:49:00Z</dcterms:modified>
  <cp:revision>16</cp:revision>
  <dc:subject/>
  <dc:title>Draft of 6.19.95</dc:title>
</cp:coreProperties>
</file>