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rFonts w:cs="Times New Roman" w:ascii="Times New Roman" w:hAnsi="Times New Roman"/>
          <w:sz w:val="2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tab/>
        <w:tab/>
        <w:tab/>
        <w:tab/>
      </w:r>
    </w:p>
    <w:tbl>
      <w:tblPr>
        <w:tblW w:w="10708" w:type="dxa"/>
        <w:jc w:val="start"/>
        <w:tblInd w:w="200" w:type="dxa"/>
        <w:tblLayout w:type="fixed"/>
        <w:tblCellMar>
          <w:top w:w="0" w:type="dxa"/>
          <w:start w:w="108" w:type="dxa"/>
          <w:bottom w:w="0" w:type="dxa"/>
          <w:end w:w="108" w:type="dxa"/>
        </w:tblCellMar>
      </w:tblPr>
      <w:tblGrid>
        <w:gridCol w:w="898"/>
        <w:gridCol w:w="5130"/>
        <w:gridCol w:w="1530"/>
        <w:gridCol w:w="3150"/>
      </w:tblGrid>
      <w:tr>
        <w:trPr>
          <w:trHeight w:val="300" w:hRule="exact"/>
        </w:trPr>
        <w:tc>
          <w:tcPr>
            <w:tcW w:w="898" w:type="dxa"/>
            <w:tcBorders/>
          </w:tcPr>
          <w:p>
            <w:pPr>
              <w:pStyle w:val="Normal"/>
              <w:spacing w:lineRule="exact" w:line="260"/>
              <w:ind w:start="-187" w:end="0"/>
              <w:jc w:val="end"/>
              <w:rPr>
                <w:rFonts w:ascii="Times New Roman" w:hAnsi="Times New Roman" w:cs="Times New Roman"/>
              </w:rPr>
            </w:pPr>
            <w:r>
              <w:rPr>
                <w:rFonts w:cs="Times New Roman" w:ascii="Times New Roman" w:hAnsi="Times New Roman"/>
              </w:rPr>
              <w:t>To:</w:t>
            </w:r>
          </w:p>
        </w:tc>
        <w:tc>
          <w:tcPr>
            <w:tcW w:w="5130" w:type="dxa"/>
            <w:tcBorders/>
          </w:tcPr>
          <w:p>
            <w:pPr>
              <w:pStyle w:val="To"/>
              <w:spacing w:lineRule="exact" w:line="280"/>
              <w:rPr>
                <w:rFonts w:ascii="Times New Roman" w:hAnsi="Times New Roman" w:cs="Times New Roman"/>
                <w:sz w:val="24"/>
              </w:rPr>
            </w:pPr>
            <w:r>
              <w:rPr>
                <w:rFonts w:cs="Times New Roman" w:ascii="Times New Roman" w:hAnsi="Times New Roman"/>
                <w:sz w:val="24"/>
              </w:rPr>
              <w:t>Distribution</w:t>
            </w:r>
          </w:p>
        </w:tc>
        <w:tc>
          <w:tcPr>
            <w:tcW w:w="1530" w:type="dxa"/>
            <w:tcBorders/>
          </w:tcPr>
          <w:p>
            <w:pPr>
              <w:pStyle w:val="Normal"/>
              <w:snapToGrid w:val="false"/>
              <w:spacing w:lineRule="exact" w:line="280"/>
              <w:ind w:start="-180" w:end="0"/>
              <w:rPr>
                <w:rFonts w:ascii="Times New Roman" w:hAnsi="Times New Roman" w:cs="Times New Roman"/>
                <w:sz w:val="24"/>
              </w:rPr>
            </w:pPr>
            <w:r>
              <w:rPr>
                <w:rFonts w:cs="Times New Roman" w:ascii="Times New Roman" w:hAnsi="Times New Roman"/>
                <w:sz w:val="24"/>
              </w:rPr>
            </w:r>
          </w:p>
        </w:tc>
        <w:tc>
          <w:tcPr>
            <w:tcW w:w="3150" w:type="dxa"/>
            <w:tcBorders/>
          </w:tcPr>
          <w:p>
            <w:pPr>
              <w:pStyle w:val="Normal"/>
              <w:snapToGrid w:val="false"/>
              <w:spacing w:lineRule="exact" w:line="280"/>
              <w:rPr>
                <w:rFonts w:ascii="Times New Roman" w:hAnsi="Times New Roman" w:cs="Times New Roman"/>
              </w:rPr>
            </w:pPr>
            <w:r>
              <w:rPr>
                <w:rFonts w:cs="Times New Roman" w:ascii="Times New Roman" w:hAnsi="Times New Roman"/>
              </w:rPr>
            </w:r>
          </w:p>
        </w:tc>
      </w:tr>
      <w:tr>
        <w:trPr>
          <w:trHeight w:val="280" w:hRule="exact"/>
        </w:trPr>
        <w:tc>
          <w:tcPr>
            <w:tcW w:w="898"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130" w:type="dxa"/>
            <w:tcBorders/>
          </w:tcPr>
          <w:p>
            <w:pPr>
              <w:pStyle w:val="Normal"/>
              <w:snapToGrid w:val="false"/>
              <w:spacing w:lineRule="exact" w:line="380"/>
              <w:rPr>
                <w:rFonts w:ascii="Times New Roman" w:hAnsi="Times New Roman" w:cs="Times New Roman"/>
              </w:rPr>
            </w:pPr>
            <w:r>
              <w:rPr>
                <w:rFonts w:cs="Times New Roman" w:ascii="Times New Roman" w:hAnsi="Times New Roman"/>
              </w:rPr>
            </w:r>
          </w:p>
          <w:p>
            <w:pPr>
              <w:pStyle w:val="Normal"/>
              <w:spacing w:lineRule="exact" w:line="380"/>
              <w:rPr>
                <w:rFonts w:ascii="Times New Roman" w:hAnsi="Times New Roman" w:cs="Times New Roman"/>
              </w:rPr>
            </w:pPr>
            <w:r>
              <w:rPr>
                <w:rFonts w:cs="Times New Roman" w:ascii="Times New Roman" w:hAnsi="Times New Roman"/>
              </w:rPr>
            </w:r>
          </w:p>
        </w:tc>
        <w:tc>
          <w:tcPr>
            <w:tcW w:w="1530"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3150" w:type="dxa"/>
            <w:tcBorders/>
          </w:tcPr>
          <w:p>
            <w:pPr>
              <w:pStyle w:val="Normal"/>
              <w:snapToGrid w:val="false"/>
              <w:spacing w:lineRule="exact" w:line="260"/>
              <w:rPr>
                <w:rFonts w:ascii="Times New Roman" w:hAnsi="Times New Roman" w:cs="Times New Roman"/>
              </w:rPr>
            </w:pPr>
            <w:r>
              <w:rPr>
                <w:rFonts w:cs="Times New Roman" w:ascii="Times New Roman" w:hAnsi="Times New Roman"/>
              </w:rPr>
            </w:r>
          </w:p>
        </w:tc>
      </w:tr>
      <w:tr>
        <w:trPr>
          <w:trHeight w:val="300" w:hRule="exact"/>
        </w:trPr>
        <w:tc>
          <w:tcPr>
            <w:tcW w:w="898" w:type="dxa"/>
            <w:tcBorders/>
          </w:tcPr>
          <w:p>
            <w:pPr>
              <w:pStyle w:val="Normal"/>
              <w:spacing w:lineRule="atLeast" w:line="260"/>
              <w:ind w:start="-187" w:end="0"/>
              <w:jc w:val="end"/>
              <w:rPr>
                <w:rFonts w:ascii="Times New Roman" w:hAnsi="Times New Roman" w:cs="Times New Roman"/>
              </w:rPr>
            </w:pPr>
            <w:r>
              <w:rPr>
                <w:rFonts w:cs="Times New Roman" w:ascii="Times New Roman" w:hAnsi="Times New Roman"/>
              </w:rPr>
              <w:t>From:</w:t>
            </w:r>
          </w:p>
        </w:tc>
        <w:tc>
          <w:tcPr>
            <w:tcW w:w="5130" w:type="dxa"/>
            <w:tcBorders/>
          </w:tcPr>
          <w:p>
            <w:pPr>
              <w:pStyle w:val="From"/>
              <w:spacing w:lineRule="exact" w:line="280"/>
              <w:rPr>
                <w:rFonts w:ascii="Times New Roman" w:hAnsi="Times New Roman" w:cs="Times New Roman"/>
                <w:sz w:val="24"/>
              </w:rPr>
            </w:pPr>
            <w:r>
              <w:rPr>
                <w:rFonts w:cs="Times New Roman" w:ascii="Times New Roman" w:hAnsi="Times New Roman"/>
                <w:sz w:val="24"/>
              </w:rPr>
              <w:t xml:space="preserve">Margaret Carson            </w:t>
            </w:r>
          </w:p>
        </w:tc>
        <w:tc>
          <w:tcPr>
            <w:tcW w:w="1530" w:type="dxa"/>
            <w:tcBorders/>
          </w:tcPr>
          <w:p>
            <w:pPr>
              <w:pStyle w:val="Normal"/>
              <w:spacing w:lineRule="exact" w:line="280"/>
              <w:ind w:start="-187" w:end="0"/>
              <w:jc w:val="end"/>
              <w:rPr>
                <w:rFonts w:ascii="Times New Roman" w:hAnsi="Times New Roman" w:cs="Times New Roman"/>
              </w:rPr>
            </w:pPr>
            <w:r>
              <w:rPr>
                <w:rFonts w:cs="Times New Roman" w:ascii="Times New Roman" w:hAnsi="Times New Roman"/>
              </w:rPr>
              <w:t>Department:</w:t>
            </w:r>
          </w:p>
        </w:tc>
        <w:tc>
          <w:tcPr>
            <w:tcW w:w="3150" w:type="dxa"/>
            <w:tcBorders/>
          </w:tcPr>
          <w:p>
            <w:pPr>
              <w:pStyle w:val="Department"/>
              <w:rPr>
                <w:rFonts w:ascii="Times New Roman" w:hAnsi="Times New Roman" w:cs="Times New Roman"/>
                <w:sz w:val="24"/>
              </w:rPr>
            </w:pPr>
            <w:bookmarkStart w:id="0" w:name="From"/>
            <w:bookmarkEnd w:id="0"/>
            <w:r>
              <w:rPr>
                <w:rFonts w:cs="Times New Roman" w:ascii="Times New Roman" w:hAnsi="Times New Roman"/>
                <w:sz w:val="24"/>
              </w:rPr>
              <w:t>Competitive Analysis</w:t>
            </w:r>
          </w:p>
        </w:tc>
      </w:tr>
      <w:tr>
        <w:trPr>
          <w:trHeight w:val="216" w:hRule="exact"/>
        </w:trPr>
        <w:tc>
          <w:tcPr>
            <w:tcW w:w="898"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130" w:type="dxa"/>
            <w:tcBorders/>
          </w:tcPr>
          <w:p>
            <w:pPr>
              <w:pStyle w:val="Normal"/>
              <w:snapToGrid w:val="false"/>
              <w:spacing w:lineRule="exact" w:line="220"/>
              <w:rPr>
                <w:rFonts w:ascii="Times New Roman" w:hAnsi="Times New Roman" w:cs="Times New Roman"/>
              </w:rPr>
            </w:pPr>
            <w:r>
              <w:rPr>
                <w:rFonts w:cs="Times New Roman" w:ascii="Times New Roman" w:hAnsi="Times New Roman"/>
              </w:rPr>
            </w:r>
          </w:p>
        </w:tc>
        <w:tc>
          <w:tcPr>
            <w:tcW w:w="1530"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3150"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600" w:hRule="exact"/>
        </w:trPr>
        <w:tc>
          <w:tcPr>
            <w:tcW w:w="898" w:type="dxa"/>
            <w:tcBorders>
              <w:bottom w:val="single" w:sz="18" w:space="0" w:color="000000"/>
            </w:tcBorders>
          </w:tcPr>
          <w:p>
            <w:pPr>
              <w:pStyle w:val="Normal"/>
              <w:spacing w:lineRule="exact" w:line="260"/>
              <w:ind w:start="-187" w:end="0"/>
              <w:jc w:val="end"/>
              <w:rPr>
                <w:rFonts w:ascii="Times New Roman" w:hAnsi="Times New Roman" w:cs="Times New Roman"/>
              </w:rPr>
            </w:pPr>
            <w:r>
              <w:rPr>
                <w:rFonts w:cs="Times New Roman" w:ascii="Times New Roman" w:hAnsi="Times New Roman"/>
              </w:rPr>
              <w:t>Subject:</w:t>
            </w:r>
          </w:p>
        </w:tc>
        <w:tc>
          <w:tcPr>
            <w:tcW w:w="5130" w:type="dxa"/>
            <w:tcBorders>
              <w:bottom w:val="single" w:sz="18" w:space="0" w:color="000000"/>
            </w:tcBorders>
          </w:tcPr>
          <w:p>
            <w:pPr>
              <w:pStyle w:val="Subject"/>
              <w:spacing w:lineRule="exact" w:line="300"/>
              <w:rPr>
                <w:rFonts w:ascii="Times New Roman" w:hAnsi="Times New Roman" w:cs="Times New Roman"/>
                <w:sz w:val="24"/>
              </w:rPr>
            </w:pPr>
            <w:bookmarkStart w:id="1" w:name="Subject"/>
            <w:bookmarkEnd w:id="1"/>
            <w:r>
              <w:rPr>
                <w:rFonts w:cs="Times New Roman" w:ascii="Times New Roman" w:hAnsi="Times New Roman"/>
                <w:sz w:val="24"/>
              </w:rPr>
              <w:t>Highlights of Cambridge Energy Week</w:t>
            </w:r>
          </w:p>
        </w:tc>
        <w:tc>
          <w:tcPr>
            <w:tcW w:w="1530" w:type="dxa"/>
            <w:tcBorders>
              <w:bottom w:val="single" w:sz="18" w:space="0" w:color="000000"/>
            </w:tcBorders>
          </w:tcPr>
          <w:p>
            <w:pPr>
              <w:pStyle w:val="Normal"/>
              <w:spacing w:lineRule="exact" w:line="300"/>
              <w:ind w:start="-180" w:end="0"/>
              <w:jc w:val="end"/>
              <w:rPr>
                <w:rFonts w:ascii="Times New Roman" w:hAnsi="Times New Roman" w:cs="Times New Roman"/>
              </w:rPr>
            </w:pPr>
            <w:r>
              <w:rPr>
                <w:rFonts w:cs="Times New Roman" w:ascii="Times New Roman" w:hAnsi="Times New Roman"/>
              </w:rPr>
              <w:t>Date:</w:t>
            </w:r>
          </w:p>
        </w:tc>
        <w:tc>
          <w:tcPr>
            <w:tcW w:w="3150" w:type="dxa"/>
            <w:tcBorders>
              <w:bottom w:val="single" w:sz="18" w:space="0" w:color="000000"/>
            </w:tcBorders>
          </w:tcPr>
          <w:p>
            <w:pPr>
              <w:pStyle w:val="Date"/>
              <w:spacing w:lineRule="exact" w:line="300"/>
              <w:rPr>
                <w:rFonts w:ascii="Times New Roman" w:hAnsi="Times New Roman" w:cs="Times New Roman"/>
                <w:sz w:val="24"/>
              </w:rPr>
            </w:pPr>
            <w:r>
              <w:rPr>
                <w:rFonts w:cs="Times New Roman" w:ascii="Times New Roman" w:hAnsi="Times New Roman"/>
                <w:sz w:val="24"/>
              </w:rPr>
              <w:t>February 16, 2001</w:t>
            </w:r>
          </w:p>
          <w:p>
            <w:pPr>
              <w:pStyle w:val="Date"/>
              <w:spacing w:lineRule="exact" w:line="300"/>
              <w:rPr>
                <w:rFonts w:ascii="Times New Roman" w:hAnsi="Times New Roman" w:cs="Times New Roman"/>
                <w:sz w:val="24"/>
              </w:rPr>
            </w:pPr>
            <w:r>
              <w:rPr>
                <w:rFonts w:cs="Times New Roman" w:ascii="Times New Roman" w:hAnsi="Times New Roman"/>
                <w:sz w:val="24"/>
              </w:rPr>
            </w:r>
          </w:p>
          <w:p>
            <w:pPr>
              <w:pStyle w:val="Date"/>
              <w:spacing w:lineRule="exact" w:line="300"/>
              <w:rPr>
                <w:rFonts w:ascii="Times New Roman" w:hAnsi="Times New Roman" w:cs="Times New Roman"/>
                <w:sz w:val="24"/>
              </w:rPr>
            </w:pPr>
            <w:r>
              <w:rPr>
                <w:rFonts w:cs="Times New Roman" w:ascii="Times New Roman" w:hAnsi="Times New Roman"/>
                <w:sz w:val="24"/>
              </w:rPr>
            </w:r>
          </w:p>
        </w:tc>
      </w:tr>
    </w:tbl>
    <w:p>
      <w:pPr>
        <w:pStyle w:val="Body"/>
        <w:ind w:start="180" w:end="0"/>
        <w:rPr>
          <w:rFonts w:ascii="Times New Roman" w:hAnsi="Times New Roman" w:cs="Times New Roman"/>
          <w:sz w:val="24"/>
        </w:rPr>
      </w:pPr>
      <w:r>
        <w:rPr>
          <w:rFonts w:cs="Times New Roman" w:ascii="Times New Roman" w:hAnsi="Times New Roman"/>
          <w:sz w:val="24"/>
        </w:rPr>
      </w:r>
    </w:p>
    <w:p>
      <w:pPr>
        <w:pStyle w:val="Body"/>
        <w:ind w:start="180" w:end="0"/>
        <w:rPr/>
      </w:pPr>
      <w:r>
        <w:rPr>
          <w:rFonts w:cs="Times New Roman" w:ascii="Times New Roman" w:hAnsi="Times New Roman"/>
          <w:sz w:val="24"/>
          <w:u w:val="single"/>
        </w:rPr>
        <w:t>Keith Bailey, CEO, Williams</w:t>
      </w:r>
      <w:r>
        <w:rPr>
          <w:rFonts w:cs="Times New Roman" w:ascii="Times New Roman" w:hAnsi="Times New Roman"/>
          <w:sz w:val="24"/>
        </w:rPr>
        <w:t>.  Williams has 33,000 route fibre miles.  It began again in telecom just six years ago after its non-compete agreement ended.  As we move to an electronic commerce economy,         hi-tech equipment consumes 11 to 13% of energy in the U.S. economy.</w:t>
      </w:r>
    </w:p>
    <w:p>
      <w:pPr>
        <w:pStyle w:val="Body"/>
        <w:ind w:start="180" w:end="0"/>
        <w:rPr>
          <w:rFonts w:ascii="Times New Roman" w:hAnsi="Times New Roman" w:cs="Times New Roman"/>
          <w:sz w:val="24"/>
        </w:rPr>
      </w:pPr>
      <w:r>
        <w:rPr>
          <w:rFonts w:cs="Times New Roman" w:ascii="Times New Roman" w:hAnsi="Times New Roman"/>
          <w:sz w:val="24"/>
        </w:rPr>
      </w:r>
    </w:p>
    <w:p>
      <w:pPr>
        <w:pStyle w:val="Body"/>
        <w:ind w:start="180" w:end="0"/>
        <w:rPr/>
      </w:pPr>
      <w:r>
        <w:rPr>
          <w:rFonts w:cs="Times New Roman" w:ascii="Times New Roman" w:hAnsi="Times New Roman"/>
          <w:sz w:val="24"/>
          <w:u w:val="single"/>
        </w:rPr>
        <w:t>Jeff Skilling, CEO of Enron</w:t>
      </w:r>
      <w:r>
        <w:rPr>
          <w:rFonts w:cs="Times New Roman" w:ascii="Times New Roman" w:hAnsi="Times New Roman"/>
          <w:sz w:val="24"/>
        </w:rPr>
        <w:t>.    He foresees the oil and gas industry:</w:t>
      </w:r>
    </w:p>
    <w:p>
      <w:pPr>
        <w:pStyle w:val="Body"/>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spacing w:lineRule="auto" w:line="360"/>
        <w:ind w:start="180" w:end="0"/>
        <w:rPr>
          <w:rFonts w:ascii="Times New Roman" w:hAnsi="Times New Roman" w:cs="Times New Roman"/>
          <w:sz w:val="24"/>
        </w:rPr>
      </w:pPr>
      <w:r>
        <w:rPr>
          <w:rFonts w:cs="Times New Roman" w:ascii="Times New Roman" w:hAnsi="Times New Roman"/>
          <w:sz w:val="24"/>
        </w:rPr>
        <w:t>(1)</w:t>
        <w:tab/>
        <w:t xml:space="preserve">Deintegrating today.  Find the cheapest supplier of what you need so you don't have to own it. </w:t>
      </w:r>
    </w:p>
    <w:p>
      <w:pPr>
        <w:pStyle w:val="Body"/>
        <w:tabs>
          <w:tab w:val="left" w:pos="720" w:leader="none"/>
        </w:tabs>
        <w:ind w:hanging="540" w:start="720" w:end="0"/>
        <w:rPr>
          <w:rFonts w:ascii="Times New Roman" w:hAnsi="Times New Roman" w:cs="Times New Roman"/>
          <w:sz w:val="24"/>
        </w:rPr>
      </w:pPr>
      <w:r>
        <w:rPr>
          <w:rFonts w:cs="Times New Roman" w:ascii="Times New Roman" w:hAnsi="Times New Roman"/>
          <w:sz w:val="24"/>
        </w:rPr>
        <w:t>(2)</w:t>
        <w:tab/>
        <w:t>Decapitalization - strip out some of your assets and let institutional investors earn 9-10%.  70-80% of your balance sheet is capital being held by you now.  If you want a 25 P/E, you need an 18-20% yield in earnings and a 5% growth rate.  Lowering your capital holdings is one good way to improve P/E ratios.</w:t>
      </w:r>
    </w:p>
    <w:p>
      <w:pPr>
        <w:pStyle w:val="Body"/>
        <w:tabs>
          <w:tab w:val="left" w:pos="720" w:leader="none"/>
        </w:tabs>
        <w:spacing w:lineRule="exact" w:line="140"/>
        <w:ind w:start="720" w:end="0"/>
        <w:rPr>
          <w:rFonts w:ascii="Times New Roman" w:hAnsi="Times New Roman" w:cs="Times New Roman"/>
          <w:sz w:val="24"/>
        </w:rPr>
      </w:pPr>
      <w:r>
        <w:rPr>
          <w:rFonts w:cs="Times New Roman" w:ascii="Times New Roman" w:hAnsi="Times New Roman"/>
          <w:sz w:val="24"/>
        </w:rPr>
        <w:t xml:space="preserve"> </w:t>
      </w:r>
    </w:p>
    <w:p>
      <w:pPr>
        <w:pStyle w:val="Body"/>
        <w:tabs>
          <w:tab w:val="left" w:pos="720" w:leader="none"/>
        </w:tabs>
        <w:ind w:hanging="576" w:start="763" w:end="0"/>
        <w:rPr>
          <w:rFonts w:ascii="Times New Roman" w:hAnsi="Times New Roman" w:cs="Times New Roman"/>
          <w:sz w:val="24"/>
        </w:rPr>
      </w:pPr>
      <w:r>
        <w:rPr>
          <w:rFonts w:cs="Times New Roman" w:ascii="Times New Roman" w:hAnsi="Times New Roman"/>
          <w:sz w:val="24"/>
        </w:rPr>
        <w:t>(3)</w:t>
        <w:tab/>
        <w:t>Focus where you have a competitive edge.  We reintegrate the Enron value chain and focus on what we are good at.  We will be #6 in Fortune 500 in 2001, growing from $2.2 billion in 1985 to $75 billion today.</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Minister Gillette, Trinidad Gas and Oil</w:t>
      </w:r>
      <w:r>
        <w:rPr>
          <w:rFonts w:cs="Times New Roman" w:ascii="Times New Roman" w:hAnsi="Times New Roman"/>
          <w:sz w:val="24"/>
        </w:rPr>
        <w:t xml:space="preserve">.  T&amp;T could have 80-100 Tcf resource potential.  Gas use grew 9%/year over the past five years.  LNG production began in April 1999.  At Pt. Lisas, there are 8 petchems, 5 methanol, 4 steel, 4 power plants and 8 industrial users.  The second LNG plant phase adds another 6 MMT versus 6 MMT in Phase I.  </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Mike Stewart, West Coast Energy of Canada</w:t>
      </w:r>
      <w:r>
        <w:rPr>
          <w:rFonts w:cs="Times New Roman" w:ascii="Times New Roman" w:hAnsi="Times New Roman"/>
          <w:sz w:val="24"/>
        </w:rPr>
        <w:t>.  Gas demand cutbacks by ammonias and petchems have reduced gas demand in US and Canada.  Metals use of gas is off as well.  Where will new gas come from?  2 BCFD could come from USGC 2005-06, +1 Bcfd more by 2010, Alaska frontier 2-4 Bcfd and           1 Bcfd McKenzie to land $3.50/MMbtu gas at Chicago.</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Jeroen van der Veer, President, Royal Dutch Shell</w:t>
      </w:r>
      <w:r>
        <w:rPr>
          <w:rFonts w:cs="Times New Roman" w:ascii="Times New Roman" w:hAnsi="Times New Roman"/>
          <w:sz w:val="24"/>
        </w:rPr>
        <w:t>.  In the past five years the S&amp;P out-performed the oil and gas industry sector by 22%.</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Herbert Detharding, CEO, Wintershall</w:t>
      </w:r>
      <w:r>
        <w:rPr>
          <w:rFonts w:cs="Times New Roman" w:ascii="Times New Roman" w:hAnsi="Times New Roman"/>
          <w:sz w:val="24"/>
        </w:rPr>
        <w:t xml:space="preserve">.  Today gas is 22% of energy use in Western Europe and reaches 30% by 2015, according to Wintershall.  It grows from 16 Tcf today to 20 Tcf by 2010.  Another new 2 Tcf of gas supplies will be needed by 2010.  Another new 2 Tcf of gas supplies will be needed by 2010.  They sold 370 Bcf in Germany in year 2000 and 500 Bcf is contracted today.  They aim to sell 370 Bcf in Germany in year in 2010.  They target a 20% marketshare in Germany by 2010, up from a 15% goal earlier. </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t>Page 2</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Harvey Longwell, Senior Vice President, ExxonMobil</w:t>
      </w:r>
      <w:r>
        <w:rPr>
          <w:rFonts w:cs="Times New Roman" w:ascii="Times New Roman" w:hAnsi="Times New Roman"/>
          <w:sz w:val="24"/>
        </w:rPr>
        <w:t>.  ExxonMobil Upstream is the largest private E&amp;P activity in the world.  With oil and gas use growing at 2-3%/year, the world will need 80 MMBD more oil production in 10 years.  The average lead-time for new production to come onstream is 7 to 8 years.  One trillion dollars will be needed to invest upstream to meet this need.  Policy needs in US are (1) access to domestic resources--ANWR, offshsore and Rockies, (2) federal and state infrastructure, less NIMBY, and (3) encourage free trade and fewer sanctions.  They have begun emphasizing real breakthroughs to get technology doing big leaps, not small incremental changes.</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San Harbison, Halliburton</w:t>
      </w:r>
      <w:r>
        <w:rPr>
          <w:rFonts w:cs="Times New Roman" w:ascii="Times New Roman" w:hAnsi="Times New Roman"/>
          <w:sz w:val="24"/>
        </w:rPr>
        <w:t>.  A dot.com has a 1 in 15 chance of success; a dry hole is 1 in 7.  The exploration and production P/E ratios are better for the bigs.  This offers niche players opportunities.  Low oil prices offered consolidation and cost savings and efficiency adds.  R/D Shell said they are not going to look at ROCE and look more at growth.  You have to create the entire enterprise value in 10 years, so time will tell.  Ten years ago oils could get 5-6% money.  Now you cannot do it unless you go to growth mode.  Anything with fee for services is hidden and a great money generator.  The majors have big silos that hide 20-50 businesses inside--gas storage, gas processing, transport fees, crude and gas treating, so it is not all drilling and refineries.</w:t>
        <w:br/>
      </w:r>
    </w:p>
    <w:p>
      <w:pPr>
        <w:pStyle w:val="Body"/>
        <w:tabs>
          <w:tab w:val="left" w:pos="720" w:leader="none"/>
        </w:tabs>
        <w:ind w:start="180" w:end="0"/>
        <w:rPr/>
      </w:pPr>
      <w:r>
        <w:rPr>
          <w:rFonts w:cs="Times New Roman" w:ascii="Times New Roman" w:hAnsi="Times New Roman"/>
          <w:sz w:val="24"/>
          <w:u w:val="single"/>
        </w:rPr>
        <w:t>Tony Knowles, Governor of Alaska</w:t>
      </w:r>
      <w:r>
        <w:rPr>
          <w:rFonts w:cs="Times New Roman" w:ascii="Times New Roman" w:hAnsi="Times New Roman"/>
          <w:sz w:val="24"/>
        </w:rPr>
        <w:t>.  Open incentives are available to investors.  Incentives for under-used assets, open state land access; area wide leasing, permitting fast track exists.  Alaska is open for business and wants the gas export pipeline built.</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Ed Kelly of CERA</w:t>
      </w:r>
      <w:r>
        <w:rPr>
          <w:rFonts w:cs="Times New Roman" w:ascii="Times New Roman" w:hAnsi="Times New Roman"/>
          <w:sz w:val="24"/>
        </w:rPr>
        <w:t>.  Does not expect this to be just a gas price spike because no gas bubble will follow this time.  Normal use growth is adding need for 1-2 Bcfd demand each year.  Storage of 500 Bcf to be low by summer.  Replacing gas by resid and distillate will help allow for gas to go to storage.  Supply will be on its way up by fall 2001.  The 6-7 Bcfd needed by a cold winter could go away and next winter prices could come way down if we do not have a colder-than-normal winter.  Prices will need several years to go back to $2-3 MMbtu.  Could go to low $5's in summer 2001, if a normal winter goes to upper $3.90s for average 2002.</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Tom Robinson, CERA</w:t>
      </w:r>
      <w:r>
        <w:rPr>
          <w:rFonts w:cs="Times New Roman" w:ascii="Times New Roman" w:hAnsi="Times New Roman"/>
          <w:sz w:val="24"/>
        </w:rPr>
        <w:t>.  Due to the recent oil price shock and now US gas and power prices hikes, slowing in the North American economy is occurring.</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Ann Louise Hittle, CERA</w:t>
      </w:r>
      <w:r>
        <w:rPr>
          <w:rFonts w:cs="Times New Roman" w:ascii="Times New Roman" w:hAnsi="Times New Roman"/>
          <w:sz w:val="24"/>
        </w:rPr>
        <w:t>.  What OPEC does in 2001 and 2002 will set prices.  1 MMbd each is to be added by non-OPEC producers in 2001 and 2002 due to high oil prices.  There is about 4 MMbd of OPEC of surplus capacity in oil.</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Kevin Lindemer, CERA</w:t>
      </w:r>
      <w:r>
        <w:rPr>
          <w:rFonts w:cs="Times New Roman" w:ascii="Times New Roman" w:hAnsi="Times New Roman"/>
          <w:sz w:val="24"/>
        </w:rPr>
        <w:t>.  Global refining margins went from the worst in 1999 to the best in 2000.  World oil demand to grow 2% in 2001.  Middle distillate demand will be robust.  Asia has surplus refining capacity.  US mogas use was down in 2000 and weak demand fundamentals continues.</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James Placke, CERA</w:t>
      </w:r>
      <w:r>
        <w:rPr>
          <w:rFonts w:cs="Times New Roman" w:ascii="Times New Roman" w:hAnsi="Times New Roman"/>
          <w:sz w:val="24"/>
        </w:rPr>
        <w:t>.  Revenues for oil exporters have slowed; upstream opening is slowing since domestic capital is more available now due to higher oil prices.  Collapse of the Mideast peace process will keep tensions high.</w:t>
      </w:r>
      <w:r>
        <w:br w:type="page"/>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t>Page 3</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Larry Makovich, CERA</w:t>
      </w:r>
      <w:r>
        <w:rPr>
          <w:rFonts w:cs="Times New Roman" w:ascii="Times New Roman" w:hAnsi="Times New Roman"/>
          <w:sz w:val="24"/>
        </w:rPr>
        <w:t>.  The new trading platforms have kept electric liberalization ahead of gas in the UK.  Cheap wholesale power is out-competing new greenfield gas-combined cycles.  California's problems are unlikely to reverse the electric liberalization process in the EU.</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Thane Gustafson, CERA</w:t>
      </w:r>
      <w:r>
        <w:rPr>
          <w:rFonts w:cs="Times New Roman" w:ascii="Times New Roman" w:hAnsi="Times New Roman"/>
          <w:sz w:val="24"/>
        </w:rPr>
        <w:t xml:space="preserve">.  The investment climate remains poor in Russia.  Barter is disappearing and more bills are being paid on time.  </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Susan Ruth, CERA</w:t>
      </w:r>
      <w:r>
        <w:rPr>
          <w:rFonts w:cs="Times New Roman" w:ascii="Times New Roman" w:hAnsi="Times New Roman"/>
          <w:sz w:val="24"/>
        </w:rPr>
        <w:t>.  Globalization toward worldwide markets will require more copying of environmental movements.  In Europe more emphasis on renewables, especially in Germany.</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Julian West, CERA</w:t>
      </w:r>
      <w:r>
        <w:rPr>
          <w:rFonts w:cs="Times New Roman" w:ascii="Times New Roman" w:hAnsi="Times New Roman"/>
          <w:sz w:val="24"/>
        </w:rPr>
        <w:t>.  E-business providers are not getting much rent.  The largest in the 1990s will stay that way.  There is still scope for big surprises.  Who won the many-to-many or one-to-many wars?  Nobody, it was a tie and all players use both.</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Dennis Eklof, CERA.</w:t>
      </w:r>
      <w:r>
        <w:rPr>
          <w:rFonts w:cs="Times New Roman" w:ascii="Times New Roman" w:hAnsi="Times New Roman"/>
          <w:sz w:val="24"/>
        </w:rPr>
        <w:t xml:space="preserve">  Asia's 1997-98 fiscal crisis continues in 2001-02; slower growth in Japan and Southeast Asia will continue investor pessimism.  GDP growth about 3%/year.  Asia oil use in 2001 is up 550 Mbd.  US exports from Asia are slowing.  Japan shows 1 to 1-1/2% GDP growth.  India's government deficit adds to budget difficulties.  CNPC and CNOOC are using more commercial tactics.  Korea gas restructuring is very slow versus its electric plants.  Deregulation will not occur until new entrants are allowed into the game; lots of anti-IMF sentiment exists worldwide in countries that took IMF's tough medicine.  China may be seeing some competitive generation after 2003.</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pPr>
      <w:r>
        <w:rPr>
          <w:rFonts w:cs="Times New Roman" w:ascii="Times New Roman" w:hAnsi="Times New Roman"/>
          <w:sz w:val="24"/>
          <w:u w:val="single"/>
        </w:rPr>
        <w:t>Sondra Scott, CERA</w:t>
      </w:r>
      <w:r>
        <w:rPr>
          <w:rFonts w:cs="Times New Roman" w:ascii="Times New Roman" w:hAnsi="Times New Roman"/>
          <w:sz w:val="24"/>
        </w:rPr>
        <w:t>.  Latin America's GDP grows at 4%; 4% also by Brazil and Mexico.  Ecuador, Venezuela and Brazil have slowing influx of capital due to slow reforms.  Latin American oil use grew 0.8% last year versus 4% GDP growth as gas and power use were more robust.</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t>Copies of the following reports and speeches are available from Joan Stransky (x3-7431):</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r>
    </w:p>
    <w:p>
      <w:pPr>
        <w:pStyle w:val="Body"/>
        <w:numPr>
          <w:ilvl w:val="0"/>
          <w:numId w:val="2"/>
        </w:numPr>
        <w:tabs>
          <w:tab w:val="left" w:pos="720" w:leader="none"/>
          <w:tab w:val="left" w:pos="1080" w:leader="none"/>
        </w:tabs>
        <w:ind w:hanging="1152" w:start="1872" w:end="0"/>
        <w:rPr>
          <w:rFonts w:ascii="Times New Roman" w:hAnsi="Times New Roman" w:cs="Times New Roman"/>
          <w:sz w:val="24"/>
        </w:rPr>
      </w:pPr>
      <w:r>
        <w:rPr>
          <w:rFonts w:cs="Times New Roman" w:ascii="Times New Roman" w:hAnsi="Times New Roman"/>
          <w:sz w:val="24"/>
        </w:rPr>
        <w:t>"Asia's Downstream Markets in 2001" from CERA</w:t>
      </w:r>
    </w:p>
    <w:p>
      <w:pPr>
        <w:pStyle w:val="Body"/>
        <w:numPr>
          <w:ilvl w:val="0"/>
          <w:numId w:val="2"/>
        </w:numPr>
        <w:tabs>
          <w:tab w:val="left" w:pos="720" w:leader="none"/>
          <w:tab w:val="left" w:pos="1080" w:leader="none"/>
        </w:tabs>
        <w:ind w:hanging="1152" w:start="1872" w:end="0"/>
        <w:rPr>
          <w:rFonts w:ascii="Times New Roman" w:hAnsi="Times New Roman" w:cs="Times New Roman"/>
          <w:sz w:val="24"/>
        </w:rPr>
      </w:pPr>
      <w:r>
        <w:rPr>
          <w:rFonts w:cs="Times New Roman" w:ascii="Times New Roman" w:hAnsi="Times New Roman"/>
          <w:sz w:val="24"/>
        </w:rPr>
        <w:t>CERA's mini-summary:  "Beyond California's Power Crisis:  Impact, Solutions and Lessons"</w:t>
      </w:r>
    </w:p>
    <w:p>
      <w:pPr>
        <w:pStyle w:val="Body"/>
        <w:numPr>
          <w:ilvl w:val="0"/>
          <w:numId w:val="2"/>
        </w:numPr>
        <w:tabs>
          <w:tab w:val="left" w:pos="720" w:leader="none"/>
          <w:tab w:val="left" w:pos="1080" w:leader="none"/>
        </w:tabs>
        <w:ind w:hanging="1152" w:start="1872" w:end="0"/>
        <w:rPr>
          <w:rFonts w:ascii="Times New Roman" w:hAnsi="Times New Roman" w:cs="Times New Roman"/>
          <w:sz w:val="24"/>
        </w:rPr>
      </w:pPr>
      <w:r>
        <w:rPr>
          <w:rFonts w:cs="Times New Roman" w:ascii="Times New Roman" w:hAnsi="Times New Roman"/>
          <w:sz w:val="24"/>
        </w:rPr>
        <w:t>Total/Fina/Elf Gas:  "The Global Challenge"</w:t>
      </w:r>
    </w:p>
    <w:p>
      <w:pPr>
        <w:pStyle w:val="Body"/>
        <w:numPr>
          <w:ilvl w:val="0"/>
          <w:numId w:val="2"/>
        </w:numPr>
        <w:tabs>
          <w:tab w:val="left" w:pos="720" w:leader="none"/>
          <w:tab w:val="left" w:pos="1080" w:leader="none"/>
        </w:tabs>
        <w:ind w:hanging="1152" w:start="1872" w:end="0"/>
        <w:rPr>
          <w:rFonts w:ascii="Times New Roman" w:hAnsi="Times New Roman" w:cs="Times New Roman"/>
          <w:sz w:val="24"/>
        </w:rPr>
      </w:pPr>
      <w:r>
        <w:rPr>
          <w:rFonts w:cs="Times New Roman" w:ascii="Times New Roman" w:hAnsi="Times New Roman"/>
          <w:sz w:val="24"/>
        </w:rPr>
        <w:t>"Diverse Gas Markets" by Linda Cook, Shell Gas &amp; Power</w:t>
      </w:r>
    </w:p>
    <w:p>
      <w:pPr>
        <w:pStyle w:val="Body"/>
        <w:tabs>
          <w:tab w:val="left" w:pos="720" w:leader="none"/>
        </w:tabs>
        <w:ind w:start="180" w:end="0"/>
        <w:rPr>
          <w:rFonts w:ascii="Times New Roman" w:hAnsi="Times New Roman" w:cs="Times New Roman"/>
          <w:sz w:val="24"/>
        </w:rPr>
      </w:pPr>
      <w:r>
        <w:rPr>
          <w:rFonts w:cs="Times New Roman" w:ascii="Times New Roman" w:hAnsi="Times New Roman"/>
          <w:sz w:val="24"/>
        </w:rPr>
        <w:tab/>
      </w:r>
    </w:p>
    <w:sectPr>
      <w:headerReference w:type="default" r:id="rId3"/>
      <w:headerReference w:type="first" r:id="rId4"/>
      <w:footerReference w:type="default" r:id="rId5"/>
      <w:footerReference w:type="first" r:id="rId6"/>
      <w:type w:val="nextPage"/>
      <w:pgSz w:w="12240" w:h="15840"/>
      <w:pgMar w:left="72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b/>
        <w:sz w:val="16"/>
      </w:rPr>
    </w:pPr>
    <w:r>
      <w:rPr>
        <w:b/>
        <w:sz w:val="16"/>
      </w:rPr>
    </w:r>
  </w:p>
  <w:p>
    <w:pPr>
      <w:pStyle w:val="Footer"/>
      <w:tabs>
        <w:tab w:val="clear" w:pos="4320"/>
        <w:tab w:val="left" w:pos="1530" w:leader="none"/>
        <w:tab w:val="left" w:pos="3780" w:leader="none"/>
        <w:tab w:val="left" w:pos="5940" w:leader="none"/>
        <w:tab w:val="left" w:pos="8640" w:leader="none"/>
      </w:tabs>
      <w:rPr>
        <w:b/>
        <w:sz w:val="16"/>
      </w:rPr>
    </w:pPr>
    <w:r>
      <w:rPr>
        <w:b/>
        <w:sz w:val="16"/>
      </w:rPr>
    </w:r>
  </w:p>
  <w:p>
    <w:pPr>
      <w:pStyle w:val="Footer"/>
      <w:tabs>
        <w:tab w:val="clear" w:pos="4320"/>
        <w:tab w:val="left" w:pos="1530" w:leader="none"/>
        <w:tab w:val="left" w:pos="3780" w:leader="none"/>
        <w:tab w:val="left" w:pos="5940" w:leader="none"/>
        <w:tab w:val="left" w:pos="8640" w:leader="none"/>
      </w:tabs>
      <w:rPr>
        <w:b/>
        <w:sz w:val="16"/>
      </w:rPr>
    </w:pPr>
    <w:r>
      <w:rPr>
        <w:b/>
        <w:sz w:val="16"/>
      </w:rPr>
    </w:r>
  </w:p>
  <w:p>
    <w:pPr>
      <w:pStyle w:val="Footer"/>
      <w:tabs>
        <w:tab w:val="clear" w:pos="4320"/>
        <w:tab w:val="left" w:pos="1530" w:leader="none"/>
        <w:tab w:val="left" w:pos="3780" w:leader="none"/>
        <w:tab w:val="left" w:pos="5940" w:leader="none"/>
        <w:tab w:val="left" w:pos="8640" w:leader="none"/>
      </w:tabs>
      <w:rPr>
        <w:b/>
        <w:sz w:val="16"/>
      </w:rPr>
    </w:pPr>
    <w:r>
      <w:rPr>
        <w:b/>
        <w:sz w:val="16"/>
      </w:rPr>
      <w:tab/>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1620" w:leader="none"/>
        <w:tab w:val="left" w:pos="3780" w:leader="none"/>
        <w:tab w:val="left" w:pos="5760" w:leader="none"/>
        <w:tab w:val="lef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872" w:hanging="432"/>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s>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2001-02-16T17:00:00Z</dcterms:created>
  <dc:creator>Martina Simpson</dc:creator>
  <dc:description/>
  <dc:language>en-CA</dc:language>
  <cp:lastModifiedBy>jstrans</cp:lastModifiedBy>
  <cp:lastPrinted>2001-02-16T11:12:00Z</cp:lastPrinted>
  <dcterms:modified xsi:type="dcterms:W3CDTF">2001-02-16T17:17:00Z</dcterms:modified>
  <cp:revision>4</cp:revision>
  <dc:subject/>
  <dc:title> </dc:title>
</cp:coreProperties>
</file>