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PROPRIETARY AND CONFIDENTIAL</w:t>
      </w:r>
    </w:p>
    <w:p>
      <w:pPr>
        <w:pStyle w:val="Normal"/>
        <w:jc w:val="end"/>
        <w:rPr>
          <w:b/>
          <w:bCs/>
          <w:sz w:val="22"/>
        </w:rPr>
      </w:pPr>
      <w:r>
        <w:rPr>
          <w:b/>
          <w:bCs/>
          <w:sz w:val="22"/>
        </w:rPr>
        <w:t>DRAFT-FOR DISCUSSION PURPOSES ONLY</w:t>
      </w:r>
    </w:p>
    <w:p>
      <w:pPr>
        <w:pStyle w:val="Normal"/>
        <w:jc w:val="end"/>
        <w:rPr>
          <w:b/>
          <w:bCs/>
          <w:sz w:val="22"/>
        </w:rPr>
      </w:pPr>
      <w:r>
        <w:rPr>
          <w:b/>
          <w:bCs/>
          <w:sz w:val="22"/>
        </w:rPr>
      </w:r>
    </w:p>
    <w:p>
      <w:pPr>
        <w:pStyle w:val="Normal"/>
        <w:jc w:val="end"/>
        <w:rPr>
          <w:sz w:val="22"/>
        </w:rPr>
      </w:pPr>
      <w:r>
        <w:rPr>
          <w:sz w:val="22"/>
        </w:rPr>
      </w:r>
    </w:p>
    <w:p>
      <w:pPr>
        <w:pStyle w:val="Normal"/>
        <w:jc w:val="center"/>
        <w:rPr>
          <w:sz w:val="22"/>
        </w:rPr>
      </w:pPr>
      <w:r>
        <w:rPr>
          <w:sz w:val="22"/>
        </w:rPr>
        <w:t>October 17, 2001</w:t>
        <w:tab/>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Calpine Corp.</w:t>
      </w:r>
      <w:bookmarkStart w:id="0" w:name="seller"/>
      <w:r>
        <w:rPr>
          <w:sz w:val="22"/>
        </w:rPr>
        <w:fldChar w:fldCharType="begin"/>
      </w:r>
      <w:r>
        <w:rPr>
          <w:sz w:val="22"/>
        </w:rPr>
        <w:instrText xml:space="preserve"> SET Seller_x0013_fillin "________________________" </w:instrText>
      </w:r>
      <w:r>
        <w:rPr>
          <w:sz w:val="22"/>
        </w:rPr>
        <w:fldChar w:fldCharType="separate"/>
      </w:r>
      <w:bookmarkStart w:id="1" w:name="Seller%13fillin"/>
      <w:r>
        <w:rPr>
          <w:sz w:val="22"/>
        </w:rPr>
      </w:r>
      <w:bookmarkEnd w:id="1"/>
      <w:r>
        <w:rPr>
          <w:sz w:val="22"/>
        </w:rPr>
        <w:fldChar w:fldCharType="end"/>
      </w:r>
      <w:bookmarkStart w:id="2" w:name="street"/>
      <w:bookmarkEnd w:id="0"/>
      <w:r>
        <w:rPr>
          <w:sz w:val="22"/>
        </w:rPr>
        <w:fldChar w:fldCharType="begin"/>
      </w:r>
      <w:r>
        <w:rPr>
          <w:sz w:val="22"/>
        </w:rPr>
        <w:instrText xml:space="preserve"> SET street_x0013_fillin "________________________" </w:instrText>
      </w:r>
      <w:r>
        <w:rPr>
          <w:sz w:val="22"/>
        </w:rPr>
        <w:fldChar w:fldCharType="separate"/>
      </w:r>
      <w:bookmarkStart w:id="3" w:name="street%13fillin"/>
      <w:r>
        <w:rPr>
          <w:sz w:val="22"/>
        </w:rPr>
      </w:r>
      <w:bookmarkEnd w:id="3"/>
      <w:r>
        <w:rPr>
          <w:sz w:val="22"/>
        </w:rPr>
        <w:fldChar w:fldCharType="end"/>
      </w:r>
      <w:bookmarkStart w:id="4" w:name="city"/>
      <w:bookmarkEnd w:id="2"/>
      <w:r>
        <w:rPr>
          <w:sz w:val="22"/>
        </w:rPr>
        <w:fldChar w:fldCharType="begin"/>
      </w:r>
      <w:r>
        <w:rPr>
          <w:sz w:val="22"/>
        </w:rPr>
        <w:instrText xml:space="preserve"> SET city_x0013_fillin "________________________" </w:instrText>
      </w:r>
      <w:r>
        <w:rPr>
          <w:sz w:val="22"/>
        </w:rPr>
        <w:fldChar w:fldCharType="separate"/>
      </w:r>
      <w:bookmarkStart w:id="5" w:name="city%13fillin"/>
      <w:r>
        <w:rPr>
          <w:sz w:val="22"/>
        </w:rPr>
      </w:r>
      <w:bookmarkEnd w:id="5"/>
      <w:r>
        <w:rPr>
          <w:sz w:val="22"/>
        </w:rPr>
        <w:fldChar w:fldCharType="end"/>
      </w:r>
      <w:bookmarkEnd w:id="4"/>
    </w:p>
    <w:p>
      <w:pPr>
        <w:pStyle w:val="Normal"/>
        <w:jc w:val="both"/>
        <w:rPr>
          <w:sz w:val="22"/>
        </w:rPr>
      </w:pPr>
      <w:r>
        <w:rPr>
          <w:sz w:val="22"/>
        </w:rPr>
        <w:t>50 West San Fernando Street</w:t>
      </w:r>
    </w:p>
    <w:p>
      <w:pPr>
        <w:pStyle w:val="Normal"/>
        <w:jc w:val="both"/>
        <w:rPr>
          <w:sz w:val="22"/>
        </w:rPr>
      </w:pPr>
      <w:r>
        <w:rPr>
          <w:sz w:val="22"/>
        </w:rPr>
        <w:t>San Jose, California 95113</w:t>
      </w:r>
    </w:p>
    <w:p>
      <w:pPr>
        <w:pStyle w:val="Normal"/>
        <w:jc w:val="both"/>
        <w:rPr>
          <w:sz w:val="22"/>
        </w:rPr>
      </w:pPr>
      <w:r>
        <w:rPr>
          <w:sz w:val="22"/>
        </w:rPr>
      </w:r>
    </w:p>
    <w:p>
      <w:pPr>
        <w:pStyle w:val="Normal"/>
        <w:jc w:val="both"/>
        <w:rPr>
          <w:sz w:val="22"/>
        </w:rPr>
      </w:pPr>
      <w:r>
        <w:rPr>
          <w:sz w:val="22"/>
        </w:rPr>
        <w:t>Attn.:</w:t>
        <w:tab/>
        <w:t>Brian Harenza</w:t>
      </w:r>
    </w:p>
    <w:p>
      <w:pPr>
        <w:pStyle w:val="Normal"/>
        <w:jc w:val="both"/>
        <w:rPr>
          <w:sz w:val="22"/>
        </w:rPr>
      </w:pPr>
      <w:r>
        <w:rPr>
          <w:sz w:val="22"/>
        </w:rPr>
      </w:r>
    </w:p>
    <w:p>
      <w:pPr>
        <w:pStyle w:val="Normal"/>
        <w:jc w:val="both"/>
        <w:rPr>
          <w:b/>
          <w:i/>
          <w:i/>
          <w:sz w:val="22"/>
        </w:rPr>
      </w:pPr>
      <w:r>
        <w:rPr>
          <w:b/>
          <w:i/>
          <w:sz w:val="22"/>
        </w:rPr>
        <w:t>Re:  Master Power Prepayment Agreement - Letter of Understanding</w:t>
      </w:r>
    </w:p>
    <w:p>
      <w:pPr>
        <w:pStyle w:val="Normal"/>
        <w:jc w:val="both"/>
        <w:rPr>
          <w:b/>
          <w:i/>
          <w:i/>
          <w:sz w:val="22"/>
        </w:rPr>
      </w:pPr>
      <w:r>
        <w:rPr>
          <w:b/>
          <w:i/>
          <w:sz w:val="22"/>
        </w:rPr>
      </w:r>
    </w:p>
    <w:p>
      <w:pPr>
        <w:pStyle w:val="Normal"/>
        <w:jc w:val="both"/>
        <w:rPr>
          <w:sz w:val="22"/>
        </w:rPr>
      </w:pPr>
      <w:r>
        <w:rPr>
          <w:sz w:val="22"/>
        </w:rPr>
        <w:t>Gentlemen:</w:t>
      </w:r>
    </w:p>
    <w:p>
      <w:pPr>
        <w:pStyle w:val="Normal"/>
        <w:jc w:val="both"/>
        <w:rPr>
          <w:sz w:val="22"/>
        </w:rPr>
      </w:pPr>
      <w:r>
        <w:rPr>
          <w:sz w:val="22"/>
        </w:rPr>
      </w:r>
    </w:p>
    <w:p>
      <w:pPr>
        <w:pStyle w:val="Normal"/>
        <w:jc w:val="both"/>
        <w:rPr>
          <w:sz w:val="22"/>
        </w:rPr>
      </w:pPr>
      <w:r>
        <w:rPr>
          <w:sz w:val="22"/>
        </w:rPr>
        <w:tab/>
        <w:t>Pending the preparation and execution of definitive agreements, this letter will confirm our understanding regarding the proposed master power prepayment agreement and gas and basis swap agreements (the “Transaction”) by and between Enron North America Corp., or its designees (“ENA”), and Calpine Corp., or its designees (“Calpine”), in accordance with the terms and conditions set forth in this letter.</w:t>
      </w:r>
    </w:p>
    <w:p>
      <w:pPr>
        <w:pStyle w:val="Normal"/>
        <w:jc w:val="both"/>
        <w:rPr>
          <w:sz w:val="22"/>
        </w:rPr>
      </w:pPr>
      <w:r>
        <w:rPr>
          <w:sz w:val="22"/>
        </w:rPr>
      </w:r>
    </w:p>
    <w:p>
      <w:pPr>
        <w:pStyle w:val="Normal"/>
        <w:numPr>
          <w:ilvl w:val="0"/>
          <w:numId w:val="2"/>
        </w:numPr>
        <w:jc w:val="both"/>
        <w:rPr>
          <w:sz w:val="22"/>
        </w:rPr>
      </w:pPr>
      <w:r>
        <w:rPr>
          <w:sz w:val="22"/>
          <w:u w:val="single"/>
        </w:rPr>
        <w:t>Term Sheet</w:t>
      </w:r>
      <w:r>
        <w:rPr>
          <w:sz w:val="22"/>
        </w:rPr>
        <w:t>.  The Transaction shall be made in accordance with this letter, the Term Sheet attached hereto as Attachment “A” and the attached summary explanation.  To the extent there is any conflict between the Term Sheet and the summary explanation and this letter, this letter shall control.</w:t>
      </w:r>
    </w:p>
    <w:p>
      <w:pPr>
        <w:pStyle w:val="Normal"/>
        <w:ind w:start="-360" w:end="0"/>
        <w:jc w:val="both"/>
        <w:rPr>
          <w:sz w:val="22"/>
        </w:rPr>
      </w:pPr>
      <w:r>
        <w:rPr>
          <w:sz w:val="22"/>
        </w:rPr>
      </w:r>
    </w:p>
    <w:p>
      <w:pPr>
        <w:pStyle w:val="Normal"/>
        <w:numPr>
          <w:ilvl w:val="0"/>
          <w:numId w:val="2"/>
        </w:numPr>
        <w:jc w:val="both"/>
        <w:rPr>
          <w:sz w:val="22"/>
        </w:rPr>
      </w:pPr>
      <w:r>
        <w:rPr>
          <w:sz w:val="22"/>
          <w:u w:val="single"/>
        </w:rPr>
        <w:t>Definitive Agreements</w:t>
      </w:r>
      <w:r>
        <w:rPr>
          <w:sz w:val="22"/>
        </w:rPr>
        <w:t>.  ENA and Calpine shall endeavor to incorporate the terms and conditions expressed herein in mutually acceptable definitive agreements (the “Definitive Agreements”) no later than [</w:t>
      </w:r>
      <w:bookmarkStart w:id="6" w:name="TermDate"/>
      <w:r>
        <w:rPr>
          <w:bCs/>
          <w:sz w:val="22"/>
        </w:rPr>
        <w:fldChar w:fldCharType="begin"/>
      </w:r>
      <w:r>
        <w:rPr>
          <w:sz w:val="22"/>
          <w:bCs/>
        </w:rPr>
        <w:instrText xml:space="preserve"> SET TermDate_x0013_fillin "______________" </w:instrText>
      </w:r>
      <w:r>
        <w:rPr>
          <w:sz w:val="22"/>
          <w:bCs/>
        </w:rPr>
        <w:fldChar w:fldCharType="separate"/>
      </w:r>
      <w:bookmarkStart w:id="7" w:name="TermDate%13fillin"/>
      <w:r>
        <w:rPr>
          <w:sz w:val="22"/>
          <w:bCs/>
        </w:rPr>
      </w:r>
      <w:bookmarkEnd w:id="7"/>
      <w:r>
        <w:rPr>
          <w:sz w:val="22"/>
          <w:bCs/>
        </w:rPr>
        <w:fldChar w:fldCharType="end"/>
      </w:r>
      <w:bookmarkEnd w:id="6"/>
      <w:r>
        <w:rPr>
          <w:bCs/>
          <w:sz w:val="22"/>
        </w:rPr>
        <w:t>November 15, 2001</w:t>
      </w:r>
      <w:r>
        <w:rPr>
          <w:sz w:val="22"/>
        </w:rPr>
        <w:t>] (the “Closing Date”).  In the event ENA and Calpine are unable to execute such definitive agreements by the Closing Date, this letter shall be deemed terminated, and neither ENA nor Calpine shall have any further obligation to the other, except as provided in paragraphs 3 and 4 below, which obligations shall survive the termination of this letter.</w:t>
      </w:r>
    </w:p>
    <w:p>
      <w:pPr>
        <w:pStyle w:val="Normal"/>
        <w:jc w:val="both"/>
        <w:rPr>
          <w:sz w:val="22"/>
          <w:u w:val="single"/>
        </w:rPr>
      </w:pPr>
      <w:r>
        <w:rPr>
          <w:sz w:val="22"/>
          <w:u w:val="single"/>
        </w:rPr>
      </w:r>
    </w:p>
    <w:p>
      <w:pPr>
        <w:pStyle w:val="Normal"/>
        <w:numPr>
          <w:ilvl w:val="0"/>
          <w:numId w:val="2"/>
        </w:numPr>
        <w:jc w:val="both"/>
        <w:rPr>
          <w:sz w:val="22"/>
        </w:rPr>
      </w:pPr>
      <w:r>
        <w:rPr>
          <w:sz w:val="22"/>
          <w:u w:val="single"/>
        </w:rPr>
        <w:t>Confidentiality</w:t>
      </w:r>
      <w:r>
        <w:rPr>
          <w:sz w:val="22"/>
        </w:rPr>
        <w:t>.  The existence of this letter of understanding, its attachments and their respective contents are intended to be confidential and are not to be discussed with or disclosed to any third party, except (i) with the express prior written consent of the other party hereto, (ii) as may be required or appropriate in response to any summons, subpoena or discovery order or to comply with any applicable law, order, regulation or ruling or (iii) as ENA and Calpine, or their designees, reasonably deem appropriate in order to conduct due diligence, title or other investigation relating to the contemplated transactions.</w:t>
      </w:r>
    </w:p>
    <w:p>
      <w:pPr>
        <w:pStyle w:val="Normal"/>
        <w:jc w:val="both"/>
        <w:rPr>
          <w:sz w:val="22"/>
          <w:u w:val="single"/>
        </w:rPr>
      </w:pPr>
      <w:r>
        <w:rPr>
          <w:sz w:val="22"/>
          <w:u w:val="single"/>
        </w:rPr>
      </w:r>
    </w:p>
    <w:p>
      <w:pPr>
        <w:pStyle w:val="Normal"/>
        <w:numPr>
          <w:ilvl w:val="0"/>
          <w:numId w:val="2"/>
        </w:numPr>
        <w:jc w:val="both"/>
        <w:rPr>
          <w:sz w:val="22"/>
        </w:rPr>
      </w:pPr>
      <w:r>
        <w:rPr>
          <w:sz w:val="22"/>
          <w:u w:val="single"/>
        </w:rPr>
        <w:t>Expenses</w:t>
      </w:r>
      <w:r>
        <w:rPr>
          <w:sz w:val="22"/>
        </w:rPr>
        <w:t>.  For and in consideration of ENA agreeing to enter into negotiations, Calpine agrees to pay all of ENA’s legal fees, professional fees and other transaction costs incurred in the evaluation and negotiation of the proposed Transaction and the Definitive Agreements, whether or not the Transaction closes.  In the event ENA and Calpine do not execute Definitive Agreements by the Closing Date, Calpine shall reimburse ENA for any loss resulting from reversing any energy or gas price hedge or interest rate hedge entered into by ENA at the direction of Calpine.  If the result of reversing any such price hedges is a gain, ENA and Calpine shall divide such gain equally.</w:t>
      </w:r>
    </w:p>
    <w:p>
      <w:pPr>
        <w:pStyle w:val="Normal"/>
        <w:jc w:val="both"/>
        <w:rPr>
          <w:sz w:val="22"/>
          <w:u w:val="single"/>
        </w:rPr>
      </w:pPr>
      <w:r>
        <w:rPr>
          <w:sz w:val="22"/>
          <w:u w:val="single"/>
        </w:rPr>
      </w:r>
    </w:p>
    <w:p>
      <w:pPr>
        <w:pStyle w:val="Normal"/>
        <w:numPr>
          <w:ilvl w:val="0"/>
          <w:numId w:val="2"/>
        </w:numPr>
        <w:jc w:val="both"/>
        <w:rPr>
          <w:sz w:val="22"/>
        </w:rPr>
      </w:pPr>
      <w:r>
        <w:rPr>
          <w:sz w:val="22"/>
          <w:u w:val="single"/>
        </w:rPr>
        <w:t>Board of Director Approval</w:t>
      </w:r>
      <w:r>
        <w:rPr>
          <w:sz w:val="22"/>
        </w:rPr>
        <w:t>.  The closing of the contemplated transactions is subject to, in addition to the other conditions herein and in the Term Sheet, the approval of the boards of directors of ENA and Calpine, which approvals have not yet been obtained.</w:t>
      </w:r>
    </w:p>
    <w:p>
      <w:pPr>
        <w:pStyle w:val="Normal"/>
        <w:jc w:val="both"/>
        <w:rPr>
          <w:sz w:val="22"/>
          <w:u w:val="single"/>
        </w:rPr>
      </w:pPr>
      <w:r>
        <w:rPr>
          <w:sz w:val="22"/>
          <w:u w:val="single"/>
        </w:rPr>
      </w:r>
    </w:p>
    <w:p>
      <w:pPr>
        <w:pStyle w:val="Normal"/>
        <w:numPr>
          <w:ilvl w:val="0"/>
          <w:numId w:val="2"/>
        </w:numPr>
        <w:jc w:val="both"/>
        <w:rPr>
          <w:sz w:val="22"/>
        </w:rPr>
      </w:pPr>
      <w:r>
        <w:rPr>
          <w:sz w:val="22"/>
          <w:u w:val="single"/>
        </w:rPr>
        <w:t>Non-binding Nature</w:t>
      </w:r>
      <w:r>
        <w:rPr>
          <w:sz w:val="22"/>
        </w:rPr>
        <w:t xml:space="preserve">.  Except as to the confidentiality and expenses provisions set forth herein, the parties hereto understand and agree that this letter sets forth the parties’ current understanding of agreements, which may be set out in a binding fashion in the Definitive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good faith understanding to endeavor, without obligation, to negotiate Definitive Agreements.  Any Transaction is conditioned upon the results of a due diligence review to ENA’s sole satisfaction, which due diligence review has not yet been conducted, and upon the favorable resolution by ENA of certain other issues, including but not limited to power and gas prices and interest rate movements </w:t>
      </w:r>
    </w:p>
    <w:p>
      <w:pPr>
        <w:pStyle w:val="Normal"/>
        <w:jc w:val="both"/>
        <w:rPr>
          <w:sz w:val="22"/>
          <w:u w:val="single"/>
        </w:rPr>
      </w:pPr>
      <w:r>
        <w:rPr>
          <w:sz w:val="22"/>
          <w:u w:val="single"/>
        </w:rPr>
      </w:r>
    </w:p>
    <w:p>
      <w:pPr>
        <w:pStyle w:val="Normal"/>
        <w:numPr>
          <w:ilvl w:val="0"/>
          <w:numId w:val="2"/>
        </w:numPr>
        <w:jc w:val="both"/>
        <w:rPr>
          <w:sz w:val="22"/>
        </w:rPr>
      </w:pP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720" w:start="720" w:end="-1440"/>
        <w:jc w:val="both"/>
        <w:rPr>
          <w:sz w:val="22"/>
        </w:rPr>
      </w:pPr>
      <w:r>
        <w:rPr>
          <w:sz w:val="22"/>
        </w:rPr>
      </w:r>
    </w:p>
    <w:p>
      <w:pPr>
        <w:pStyle w:val="Normal"/>
        <w:jc w:val="both"/>
        <w:rPr/>
      </w:pPr>
      <w:r>
        <w:rPr>
          <w:sz w:val="22"/>
        </w:rPr>
        <w:tab/>
        <w:t xml:space="preserve">If the terms and conditions of this letter are in accord with your understanding, please sign, and return the enclosed counterpart of this letter, no later than </w:t>
      </w:r>
      <w:r>
        <w:rPr>
          <w:sz w:val="22"/>
        </w:rPr>
        <w:fldChar w:fldCharType="begin"/>
      </w:r>
      <w:r>
        <w:rPr>
          <w:sz w:val="22"/>
        </w:rPr>
        <w:instrText xml:space="preserve"> FILLIN "Enter execution date"</w:instrText>
      </w:r>
      <w:r>
        <w:rPr>
          <w:sz w:val="22"/>
        </w:rPr>
        <w:fldChar w:fldCharType="separate"/>
      </w:r>
      <w:r>
        <w:rPr>
          <w:sz w:val="22"/>
        </w:rPr>
        <w:t>______________</w:t>
      </w:r>
      <w:r>
        <w:rPr>
          <w:sz w:val="22"/>
        </w:rPr>
        <w:fldChar w:fldCharType="end"/>
      </w:r>
      <w:r>
        <w:rPr>
          <w:sz w:val="22"/>
        </w:rPr>
        <w:t>, after which date, if not returned, this letter shall be null and void.</w:t>
      </w:r>
    </w:p>
    <w:p>
      <w:pPr>
        <w:pStyle w:val="Normal"/>
        <w:jc w:val="both"/>
        <w:rPr>
          <w:sz w:val="22"/>
        </w:rPr>
      </w:pPr>
      <w:r>
        <w:rPr>
          <w:sz w:val="22"/>
        </w:rPr>
      </w:r>
    </w:p>
    <w:p>
      <w:pPr>
        <w:pStyle w:val="Normal"/>
        <w:keepNext w:val="true"/>
        <w:ind w:start="4320" w:end="0"/>
        <w:jc w:val="both"/>
        <w:rPr>
          <w:sz w:val="22"/>
        </w:rPr>
      </w:pPr>
      <w:r>
        <w:rPr>
          <w:sz w:val="22"/>
        </w:rPr>
        <w:t>Very truly yours,</w:t>
      </w:r>
    </w:p>
    <w:p>
      <w:pPr>
        <w:pStyle w:val="Normal"/>
        <w:keepNext w:val="true"/>
        <w:ind w:start="4320" w:end="0"/>
        <w:jc w:val="both"/>
        <w:rPr>
          <w:sz w:val="22"/>
        </w:rPr>
      </w:pPr>
      <w:r>
        <w:rPr>
          <w:sz w:val="22"/>
        </w:rPr>
      </w:r>
    </w:p>
    <w:p>
      <w:pPr>
        <w:pStyle w:val="Normal"/>
        <w:keepNext w:val="true"/>
        <w:tabs>
          <w:tab w:val="clear" w:pos="720"/>
          <w:tab w:val="right" w:pos="9360" w:leader="none"/>
        </w:tabs>
        <w:ind w:start="4320" w:end="0"/>
        <w:jc w:val="both"/>
        <w:rPr>
          <w:sz w:val="22"/>
        </w:rPr>
      </w:pPr>
      <w:r>
        <w:rPr>
          <w:sz w:val="22"/>
        </w:rPr>
        <w:t>ENRON NORTH AMERICA CORP.</w:t>
      </w:r>
    </w:p>
    <w:p>
      <w:pPr>
        <w:pStyle w:val="Normal"/>
        <w:keepNext w:val="true"/>
        <w:ind w:start="4320" w:end="0"/>
        <w:jc w:val="both"/>
        <w:rPr>
          <w:sz w:val="22"/>
        </w:rPr>
      </w:pPr>
      <w:r>
        <w:rPr>
          <w:sz w:val="22"/>
        </w:rPr>
      </w:r>
    </w:p>
    <w:p>
      <w:pPr>
        <w:pStyle w:val="Normal"/>
        <w:keepNext w:val="true"/>
        <w:ind w:start="4320" w:end="0"/>
        <w:jc w:val="both"/>
        <w:rPr>
          <w:sz w:val="22"/>
        </w:rPr>
      </w:pPr>
      <w:r>
        <w:rPr>
          <w:sz w:val="22"/>
        </w:rPr>
      </w:r>
    </w:p>
    <w:p>
      <w:pPr>
        <w:pStyle w:val="Normal"/>
        <w:keepNext w:val="true"/>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keepNext w:val="true"/>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keepNext w:val="true"/>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ind w:start="4320" w:end="0"/>
        <w:jc w:val="both"/>
        <w:rPr>
          <w:sz w:val="22"/>
        </w:rPr>
      </w:pPr>
      <w:r>
        <w:rPr>
          <w:sz w:val="22"/>
        </w:rPr>
      </w:r>
    </w:p>
    <w:p>
      <w:pPr>
        <w:pStyle w:val="Normal"/>
        <w:ind w:start="4320" w:end="0"/>
        <w:jc w:val="both"/>
        <w:rPr>
          <w:sz w:val="22"/>
        </w:rPr>
      </w:pPr>
      <w:r>
        <w:rPr>
          <w:sz w:val="22"/>
        </w:rPr>
      </w:r>
    </w:p>
    <w:p>
      <w:pPr>
        <w:pStyle w:val="Normal"/>
        <w:keepNext w:val="true"/>
        <w:widowControl w:val="false"/>
        <w:jc w:val="both"/>
        <w:rPr>
          <w:sz w:val="22"/>
        </w:rPr>
      </w:pPr>
      <w:r>
        <w:rPr>
          <w:sz w:val="22"/>
        </w:rPr>
        <w:t>CONFIRMED</w:t>
      </w:r>
    </w:p>
    <w:p>
      <w:pPr>
        <w:pStyle w:val="Normal"/>
        <w:keepNext w:val="true"/>
        <w:widowControl w:val="false"/>
        <w:jc w:val="both"/>
        <w:rPr>
          <w:sz w:val="22"/>
        </w:rPr>
      </w:pPr>
      <w:r>
        <w:rPr>
          <w:sz w:val="22"/>
        </w:rPr>
        <w:t>this ____ day of ___________, 2001</w:t>
      </w:r>
    </w:p>
    <w:p>
      <w:pPr>
        <w:pStyle w:val="Normal"/>
        <w:keepNext w:val="true"/>
        <w:widowControl w:val="false"/>
        <w:jc w:val="both"/>
        <w:rPr>
          <w:sz w:val="22"/>
        </w:rPr>
      </w:pPr>
      <w:r>
        <w:rPr>
          <w:sz w:val="22"/>
        </w:rPr>
      </w:r>
    </w:p>
    <w:p>
      <w:pPr>
        <w:pStyle w:val="Normal"/>
        <w:keepNext w:val="true"/>
        <w:widowControl w:val="false"/>
        <w:jc w:val="both"/>
        <w:rPr>
          <w:sz w:val="22"/>
        </w:rPr>
      </w:pPr>
      <w:r>
        <w:rPr>
          <w:sz w:val="22"/>
        </w:rPr>
        <w:t xml:space="preserve">CALPINE CORP. </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keepNext w:val="true"/>
        <w:widowControl w:val="false"/>
        <w:tabs>
          <w:tab w:val="left" w:pos="720" w:leader="none"/>
          <w:tab w:val="right" w:pos="5040" w:leader="none"/>
        </w:tabs>
        <w:jc w:val="both"/>
        <w:rPr/>
      </w:pPr>
      <w:r>
        <w:rPr>
          <w:sz w:val="22"/>
        </w:rPr>
        <w:t>Title:</w:t>
        <w:tab/>
      </w:r>
      <w:r>
        <w:rPr>
          <w:sz w:val="22"/>
          <w:u w:val="single"/>
        </w:rPr>
        <w:tab/>
      </w:r>
    </w:p>
    <w:p>
      <w:pPr>
        <w:pStyle w:val="Normal"/>
        <w:rPr>
          <w:sz w:val="22"/>
          <w:u w:val="single"/>
        </w:rPr>
      </w:pPr>
      <w:r>
        <w:rPr>
          <w:sz w:val="22"/>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5">
    <w:name w:val="heading 5"/>
    <w:basedOn w:val="Normal"/>
    <w:next w:val="Normal"/>
    <w:qFormat/>
    <w:pPr>
      <w:keepNext w:val="true"/>
      <w:numPr>
        <w:ilvl w:val="4"/>
        <w:numId w:val="1"/>
      </w:numPr>
      <w:overflowPunct w:val="false"/>
      <w:autoSpaceDE w:val="false"/>
      <w:jc w:val="end"/>
      <w:textAlignment w:val="baseline"/>
      <w:outlineLvl w:val="4"/>
    </w:pPr>
    <w:rPr>
      <w:b/>
      <w:bCs/>
      <w:sz w:val="22"/>
      <w:szCs w:val="20"/>
    </w:rPr>
  </w:style>
  <w:style w:type="character" w:styleId="WW8Num1z0">
    <w:name w:val="WW8Num1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2001-10-17T11:25:00Z</dcterms:created>
  <dc:creator>jgrace2</dc:creator>
  <dc:description/>
  <dc:language>en-CA</dc:language>
  <cp:lastModifiedBy>jgrace2</cp:lastModifiedBy>
  <cp:lastPrinted>2001-10-05T10:12:00Z</cp:lastPrinted>
  <dcterms:modified xsi:type="dcterms:W3CDTF">2001-10-17T11:25:00Z</dcterms:modified>
  <cp:revision>2</cp:revision>
  <dc:subject/>
  <dc:title>PROPRIETARY AND CONFIDENTIAL</dc:title>
</cp:coreProperties>
</file>